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default" w:ascii="方正小标宋简体" w:eastAsia="方正小标宋简体"/>
          <w:color w:val="FF3300"/>
          <w:sz w:val="50"/>
          <w:szCs w:val="50"/>
        </w:rPr>
      </w:pPr>
      <w:r>
        <w:rPr>
          <w:rFonts w:ascii="方正小标宋简体" w:eastAsia="方正小标宋简体"/>
          <w:color w:val="FF3300"/>
          <w:sz w:val="50"/>
          <w:szCs w:val="50"/>
        </w:rPr>
        <w:t>香格里拉市工业</w:t>
      </w:r>
      <w:r>
        <w:rPr>
          <w:rFonts w:hint="eastAsia" w:ascii="方正小标宋简体" w:eastAsia="方正小标宋简体"/>
          <w:color w:val="FF3300"/>
          <w:sz w:val="50"/>
          <w:szCs w:val="50"/>
          <w:lang w:eastAsia="zh-CN"/>
        </w:rPr>
        <w:t>信息化和商务外事</w:t>
      </w:r>
      <w:r>
        <w:rPr>
          <w:rFonts w:ascii="方正小标宋简体" w:eastAsia="方正小标宋简体"/>
          <w:color w:val="FF3300"/>
          <w:sz w:val="50"/>
          <w:szCs w:val="50"/>
        </w:rPr>
        <w:t>局</w:t>
      </w:r>
    </w:p>
    <w:p>
      <w:pPr>
        <w:spacing w:line="1500" w:lineRule="exact"/>
        <w:jc w:val="center"/>
        <w:rPr>
          <w:rFonts w:hint="default" w:ascii="华文行楷" w:eastAsia="华文行楷"/>
          <w:color w:val="FF3300"/>
          <w:spacing w:val="80"/>
          <w:sz w:val="140"/>
        </w:rPr>
      </w:pPr>
      <w:r>
        <w:rPr>
          <w:rFonts w:ascii="华文行楷" w:eastAsia="华文行楷"/>
          <w:color w:val="FF3300"/>
          <w:spacing w:val="80"/>
          <w:sz w:val="140"/>
        </w:rPr>
        <w:t>工作简报</w:t>
      </w:r>
    </w:p>
    <w:p>
      <w:pPr>
        <w:spacing w:line="600" w:lineRule="exact"/>
        <w:jc w:val="center"/>
        <w:rPr>
          <w:rFonts w:hint="eastAsia" w:ascii="方正仿宋_GBK" w:hAnsi="方正仿宋_GBK" w:eastAsia="方正仿宋_GBK" w:cs="方正仿宋_GBK"/>
          <w:sz w:val="32"/>
          <w:szCs w:val="32"/>
        </w:rPr>
      </w:pPr>
    </w:p>
    <w:p>
      <w:pPr>
        <w:spacing w:line="6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w:t>
      </w:r>
      <w:r>
        <w:rPr>
          <w:rFonts w:hint="eastAsia" w:ascii="方正仿宋_GBK" w:hAnsi="方正仿宋_GBK" w:eastAsia="方正仿宋_GBK" w:cs="方正仿宋_GBK"/>
          <w:color w:val="000000"/>
          <w:sz w:val="32"/>
          <w:szCs w:val="32"/>
          <w:lang w:val="en-US" w:eastAsia="zh-CN"/>
        </w:rPr>
        <w:t>35</w:t>
      </w:r>
      <w:r>
        <w:rPr>
          <w:rFonts w:hint="eastAsia" w:ascii="方正仿宋_GBK" w:hAnsi="方正仿宋_GBK" w:eastAsia="方正仿宋_GBK" w:cs="方正仿宋_GBK"/>
          <w:color w:val="000000"/>
          <w:sz w:val="32"/>
          <w:szCs w:val="32"/>
        </w:rPr>
        <w:t>期</w:t>
      </w:r>
    </w:p>
    <w:p>
      <w:pPr>
        <w:spacing w:line="600" w:lineRule="exact"/>
        <w:jc w:val="center"/>
        <w:rPr>
          <w:rFonts w:hint="default"/>
        </w:rPr>
      </w:pPr>
    </w:p>
    <w:p>
      <w:pPr>
        <w:ind w:firstLine="135" w:firstLineChars="48"/>
        <w:rPr>
          <w:rFonts w:hint="eastAsia" w:ascii="方正小标宋_GBK" w:hAnsi="方正小标宋_GBK" w:eastAsia="方正小标宋_GBK" w:cs="方正小标宋_GBK"/>
          <w:sz w:val="44"/>
          <w:szCs w:val="44"/>
          <w:lang w:val="en-US" w:eastAsia="zh-CN"/>
        </w:rPr>
      </w:pPr>
      <w:r>
        <w:rPr>
          <w:b/>
          <w:color w:val="FF3300"/>
          <w:spacing w:val="-10"/>
          <w:sz w:val="30"/>
          <w:u w:val="single"/>
        </w:rPr>
        <w:t>香格里拉市工业</w:t>
      </w:r>
      <w:r>
        <w:rPr>
          <w:rFonts w:hint="eastAsia"/>
          <w:b/>
          <w:color w:val="FF3300"/>
          <w:spacing w:val="-10"/>
          <w:sz w:val="30"/>
          <w:u w:val="single"/>
          <w:lang w:eastAsia="zh-CN"/>
        </w:rPr>
        <w:t>信息化和商务外事</w:t>
      </w:r>
      <w:r>
        <w:rPr>
          <w:b/>
          <w:color w:val="FF3300"/>
          <w:spacing w:val="-10"/>
          <w:sz w:val="30"/>
          <w:u w:val="single"/>
        </w:rPr>
        <w:t>局</w:t>
      </w:r>
      <w:r>
        <w:rPr>
          <w:rFonts w:hint="default"/>
          <w:b/>
          <w:color w:val="FF3300"/>
          <w:spacing w:val="-10"/>
          <w:sz w:val="30"/>
          <w:u w:val="single"/>
        </w:rPr>
        <w:t xml:space="preserve">      </w:t>
      </w:r>
      <w:r>
        <w:rPr>
          <w:rFonts w:hint="default"/>
          <w:b/>
          <w:color w:val="FF0000"/>
          <w:spacing w:val="-10"/>
          <w:sz w:val="30"/>
          <w:u w:val="single"/>
        </w:rPr>
        <w:t xml:space="preserve"> </w:t>
      </w:r>
      <w:r>
        <w:rPr>
          <w:rFonts w:ascii="方正仿宋简体" w:eastAsia="方正仿宋简体"/>
          <w:color w:val="FF0000"/>
          <w:spacing w:val="-10"/>
          <w:sz w:val="32"/>
          <w:u w:val="single"/>
        </w:rPr>
        <w:t xml:space="preserve"> 20</w:t>
      </w:r>
      <w:r>
        <w:rPr>
          <w:rFonts w:hint="eastAsia" w:ascii="方正仿宋简体" w:eastAsia="方正仿宋简体"/>
          <w:color w:val="FF0000"/>
          <w:spacing w:val="-10"/>
          <w:sz w:val="32"/>
          <w:u w:val="single"/>
          <w:lang w:val="en-US" w:eastAsia="zh-CN"/>
        </w:rPr>
        <w:t>22</w:t>
      </w:r>
      <w:r>
        <w:rPr>
          <w:rFonts w:ascii="方正仿宋简体" w:eastAsia="方正仿宋简体"/>
          <w:color w:val="FF0000"/>
          <w:spacing w:val="-10"/>
          <w:sz w:val="32"/>
          <w:u w:val="single"/>
        </w:rPr>
        <w:t>年</w:t>
      </w:r>
      <w:r>
        <w:rPr>
          <w:rFonts w:hint="eastAsia" w:ascii="方正仿宋简体" w:eastAsia="方正仿宋简体"/>
          <w:color w:val="FF0000"/>
          <w:spacing w:val="-10"/>
          <w:sz w:val="32"/>
          <w:u w:val="single"/>
          <w:lang w:val="en-US" w:eastAsia="zh-CN"/>
        </w:rPr>
        <w:t>7</w:t>
      </w:r>
      <w:r>
        <w:rPr>
          <w:rFonts w:ascii="方正仿宋简体" w:eastAsia="方正仿宋简体"/>
          <w:color w:val="FF0000"/>
          <w:spacing w:val="-10"/>
          <w:sz w:val="32"/>
          <w:u w:val="single"/>
        </w:rPr>
        <w:t>月</w:t>
      </w:r>
      <w:r>
        <w:rPr>
          <w:rFonts w:hint="eastAsia" w:ascii="方正仿宋简体" w:eastAsia="方正仿宋简体"/>
          <w:color w:val="FF0000"/>
          <w:spacing w:val="-10"/>
          <w:sz w:val="32"/>
          <w:u w:val="single"/>
          <w:lang w:val="en-US" w:eastAsia="zh-CN"/>
        </w:rPr>
        <w:t>14</w:t>
      </w:r>
      <w:r>
        <w:rPr>
          <w:rFonts w:ascii="方正仿宋简体" w:eastAsia="方正仿宋简体"/>
          <w:color w:val="FF0000"/>
          <w:spacing w:val="-10"/>
          <w:sz w:val="32"/>
          <w:u w:val="single"/>
        </w:rPr>
        <w:t>日</w:t>
      </w:r>
    </w:p>
    <w:p>
      <w:pPr>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上半年规模以上工业经济运行分析</w:t>
      </w:r>
    </w:p>
    <w:bookmarkEnd w:id="0"/>
    <w:p>
      <w:pPr>
        <w:bidi w:val="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一、主要指标完成情况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主要指标情况：完成规上工业总产值33.72亿元，同比下降1.14%。其中：开发区企业完成总产值0.38亿元，同比下降22.73%；州级企业完成总产值7.69亿元，同比增长27.74%；市级企业实现产值25.64亿元，同比下降7.05%。完成增加值增速-3.1%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2、从分行业看：呈“三降一增”态势。采矿业产值同比下降24.76%，制造业产值同比下降9.85%，其它业产值下降2.53%，电力产值同比增长37.55%，。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3、从当月增长情况看：采矿业当月产值2.09亿元，同比下降51.64%；制造业当月产值0.71亿元，同比下降9.75%；其它业产值当月0.11亿元，同比下降17.23%；电力当月产值4.69亿元，同比增长54.41%，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二、存在困难问题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总体看，二季度</w:t>
      </w:r>
      <w:r>
        <w:rPr>
          <w:rFonts w:hint="eastAsia" w:ascii="仿宋" w:hAnsi="仿宋" w:eastAsia="仿宋" w:cs="仿宋"/>
          <w:b w:val="0"/>
          <w:bCs w:val="0"/>
          <w:sz w:val="32"/>
          <w:szCs w:val="32"/>
          <w:lang w:val="en-US" w:eastAsia="zh-CN"/>
        </w:rPr>
        <w:t>未按时间过半任务过半的要求完成工业增加值增长10%的目标，完成</w:t>
      </w:r>
      <w:r>
        <w:rPr>
          <w:rFonts w:hint="default" w:ascii="仿宋" w:hAnsi="仿宋" w:eastAsia="仿宋" w:cs="仿宋"/>
          <w:b w:val="0"/>
          <w:bCs w:val="0"/>
          <w:sz w:val="32"/>
          <w:szCs w:val="32"/>
          <w:lang w:val="en-US" w:eastAsia="zh-CN"/>
        </w:rPr>
        <w:t>年度增加值增长1</w:t>
      </w:r>
      <w:r>
        <w:rPr>
          <w:rFonts w:hint="eastAsia" w:ascii="仿宋" w:hAnsi="仿宋" w:eastAsia="仿宋" w:cs="仿宋"/>
          <w:b w:val="0"/>
          <w:bCs w:val="0"/>
          <w:sz w:val="32"/>
          <w:szCs w:val="32"/>
          <w:lang w:val="en-US" w:eastAsia="zh-CN"/>
        </w:rPr>
        <w:t>0</w:t>
      </w:r>
      <w:r>
        <w:rPr>
          <w:rFonts w:hint="default" w:ascii="仿宋" w:hAnsi="仿宋" w:eastAsia="仿宋" w:cs="仿宋"/>
          <w:b w:val="0"/>
          <w:bCs w:val="0"/>
          <w:sz w:val="32"/>
          <w:szCs w:val="32"/>
          <w:lang w:val="en-US" w:eastAsia="zh-CN"/>
        </w:rPr>
        <w:t>%的目标任务</w:t>
      </w:r>
      <w:r>
        <w:rPr>
          <w:rFonts w:hint="eastAsia" w:ascii="仿宋" w:hAnsi="仿宋" w:eastAsia="仿宋" w:cs="仿宋"/>
          <w:b w:val="0"/>
          <w:bCs w:val="0"/>
          <w:sz w:val="32"/>
          <w:szCs w:val="32"/>
          <w:lang w:val="en-US" w:eastAsia="zh-CN"/>
        </w:rPr>
        <w:t>形势依然严峻，难度较大</w:t>
      </w:r>
      <w:r>
        <w:rPr>
          <w:rFonts w:hint="default" w:ascii="仿宋" w:hAnsi="仿宋" w:eastAsia="仿宋" w:cs="仿宋"/>
          <w:b w:val="0"/>
          <w:bCs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历年来重点支撑我市主要经济指标的矿企业，上半年3户规上的</w:t>
      </w:r>
      <w:r>
        <w:rPr>
          <w:rFonts w:hint="default" w:ascii="仿宋" w:hAnsi="仿宋" w:eastAsia="仿宋" w:cs="仿宋"/>
          <w:b w:val="0"/>
          <w:bCs w:val="0"/>
          <w:sz w:val="32"/>
          <w:szCs w:val="32"/>
          <w:lang w:val="en-US" w:eastAsia="zh-CN"/>
        </w:rPr>
        <w:t>矿企业只有普朗一家生产</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神川、红牛两家处于停产整改</w:t>
      </w:r>
      <w:r>
        <w:rPr>
          <w:rFonts w:hint="eastAsia" w:ascii="仿宋" w:hAnsi="仿宋" w:eastAsia="仿宋" w:cs="仿宋"/>
          <w:b w:val="0"/>
          <w:bCs w:val="0"/>
          <w:sz w:val="32"/>
          <w:szCs w:val="32"/>
          <w:lang w:val="en-US" w:eastAsia="zh-CN"/>
        </w:rPr>
        <w:t>中，且神川、红牛复产存在不确定性。上半年矿企业产值塌同期4.52亿元，全年预计塌同期11.27亿元，而我市规上企业大多为中小企业，没有能支撑拉动11.27亿元的企业。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上半年普朗铜矿</w:t>
      </w:r>
      <w:r>
        <w:rPr>
          <w:rFonts w:hint="default" w:ascii="仿宋" w:hAnsi="仿宋" w:eastAsia="仿宋" w:cs="仿宋"/>
          <w:b w:val="0"/>
          <w:bCs w:val="0"/>
          <w:sz w:val="32"/>
          <w:szCs w:val="32"/>
          <w:lang w:val="en-US" w:eastAsia="zh-CN"/>
        </w:rPr>
        <w:t>实现工业产值</w:t>
      </w:r>
      <w:r>
        <w:rPr>
          <w:rFonts w:hint="eastAsia" w:ascii="仿宋" w:hAnsi="仿宋" w:eastAsia="仿宋" w:cs="仿宋"/>
          <w:b w:val="0"/>
          <w:bCs w:val="0"/>
          <w:sz w:val="32"/>
          <w:szCs w:val="32"/>
          <w:lang w:val="en-US" w:eastAsia="zh-CN"/>
        </w:rPr>
        <w:t>13.75</w:t>
      </w:r>
      <w:r>
        <w:rPr>
          <w:rFonts w:hint="default" w:ascii="仿宋" w:hAnsi="仿宋" w:eastAsia="仿宋" w:cs="仿宋"/>
          <w:b w:val="0"/>
          <w:bCs w:val="0"/>
          <w:sz w:val="32"/>
          <w:szCs w:val="32"/>
          <w:lang w:val="en-US" w:eastAsia="zh-CN"/>
        </w:rPr>
        <w:t>亿元，占规上工业产值的</w:t>
      </w:r>
      <w:r>
        <w:rPr>
          <w:rFonts w:hint="eastAsia" w:ascii="仿宋" w:hAnsi="仿宋" w:eastAsia="仿宋" w:cs="仿宋"/>
          <w:b w:val="0"/>
          <w:bCs w:val="0"/>
          <w:sz w:val="32"/>
          <w:szCs w:val="32"/>
          <w:lang w:val="en-US" w:eastAsia="zh-CN"/>
        </w:rPr>
        <w:t>40.78</w:t>
      </w:r>
      <w:r>
        <w:rPr>
          <w:rFonts w:hint="default" w:ascii="仿宋" w:hAnsi="仿宋" w:eastAsia="仿宋" w:cs="仿宋"/>
          <w:b w:val="0"/>
          <w:bCs w:val="0"/>
          <w:sz w:val="32"/>
          <w:szCs w:val="32"/>
          <w:lang w:val="en-US" w:eastAsia="zh-CN"/>
        </w:rPr>
        <w:t>%，从目前看</w:t>
      </w:r>
      <w:r>
        <w:rPr>
          <w:rFonts w:hint="eastAsia" w:ascii="仿宋" w:hAnsi="仿宋" w:eastAsia="仿宋" w:cs="仿宋"/>
          <w:b w:val="0"/>
          <w:bCs w:val="0"/>
          <w:sz w:val="32"/>
          <w:szCs w:val="32"/>
          <w:lang w:val="en-US" w:eastAsia="zh-CN"/>
        </w:rPr>
        <w:t>普朗</w:t>
      </w:r>
      <w:r>
        <w:rPr>
          <w:rFonts w:hint="default" w:ascii="仿宋" w:hAnsi="仿宋" w:eastAsia="仿宋" w:cs="仿宋"/>
          <w:b w:val="0"/>
          <w:bCs w:val="0"/>
          <w:sz w:val="32"/>
          <w:szCs w:val="32"/>
          <w:lang w:val="en-US" w:eastAsia="zh-CN"/>
        </w:rPr>
        <w:t>产值一家独大，稍有闪失，对</w:t>
      </w:r>
      <w:r>
        <w:rPr>
          <w:rFonts w:hint="eastAsia" w:ascii="仿宋" w:hAnsi="仿宋" w:eastAsia="仿宋" w:cs="仿宋"/>
          <w:b w:val="0"/>
          <w:bCs w:val="0"/>
          <w:sz w:val="32"/>
          <w:szCs w:val="32"/>
          <w:lang w:val="en-US" w:eastAsia="zh-CN"/>
        </w:rPr>
        <w:t>我市</w:t>
      </w:r>
      <w:r>
        <w:rPr>
          <w:rFonts w:hint="default" w:ascii="仿宋" w:hAnsi="仿宋" w:eastAsia="仿宋" w:cs="仿宋"/>
          <w:b w:val="0"/>
          <w:bCs w:val="0"/>
          <w:sz w:val="32"/>
          <w:szCs w:val="32"/>
          <w:lang w:val="en-US" w:eastAsia="zh-CN"/>
        </w:rPr>
        <w:t>工业经济运行影响较大，起着决定性意义，</w:t>
      </w:r>
      <w:r>
        <w:rPr>
          <w:rFonts w:hint="eastAsia" w:ascii="仿宋" w:hAnsi="仿宋" w:eastAsia="仿宋" w:cs="仿宋"/>
          <w:b w:val="0"/>
          <w:bCs w:val="0"/>
          <w:sz w:val="32"/>
          <w:szCs w:val="32"/>
          <w:lang w:val="en-US" w:eastAsia="zh-CN"/>
        </w:rPr>
        <w:t>形成普朗</w:t>
      </w:r>
      <w:r>
        <w:rPr>
          <w:rFonts w:hint="default" w:ascii="仿宋" w:hAnsi="仿宋" w:eastAsia="仿宋" w:cs="仿宋"/>
          <w:b w:val="0"/>
          <w:bCs w:val="0"/>
          <w:sz w:val="32"/>
          <w:szCs w:val="32"/>
          <w:lang w:val="en-US" w:eastAsia="zh-CN"/>
        </w:rPr>
        <w:t>兴</w:t>
      </w:r>
      <w:r>
        <w:rPr>
          <w:rFonts w:hint="eastAsia" w:ascii="仿宋" w:hAnsi="仿宋" w:eastAsia="仿宋" w:cs="仿宋"/>
          <w:b w:val="0"/>
          <w:bCs w:val="0"/>
          <w:sz w:val="32"/>
          <w:szCs w:val="32"/>
          <w:lang w:val="en-US" w:eastAsia="zh-CN"/>
        </w:rPr>
        <w:t>则我市</w:t>
      </w:r>
      <w:r>
        <w:rPr>
          <w:rFonts w:hint="default" w:ascii="仿宋" w:hAnsi="仿宋" w:eastAsia="仿宋" w:cs="仿宋"/>
          <w:b w:val="0"/>
          <w:bCs w:val="0"/>
          <w:sz w:val="32"/>
          <w:szCs w:val="32"/>
          <w:lang w:val="en-US" w:eastAsia="zh-CN"/>
        </w:rPr>
        <w:t>规上工业兴</w:t>
      </w:r>
      <w:r>
        <w:rPr>
          <w:rFonts w:hint="eastAsia" w:ascii="仿宋" w:hAnsi="仿宋" w:eastAsia="仿宋" w:cs="仿宋"/>
          <w:b w:val="0"/>
          <w:bCs w:val="0"/>
          <w:sz w:val="32"/>
          <w:szCs w:val="32"/>
          <w:lang w:val="en-US" w:eastAsia="zh-CN"/>
        </w:rPr>
        <w:t>的形势</w:t>
      </w:r>
      <w:r>
        <w:rPr>
          <w:rFonts w:hint="default" w:ascii="仿宋" w:hAnsi="仿宋" w:eastAsia="仿宋" w:cs="仿宋"/>
          <w:b w:val="0"/>
          <w:bCs w:val="0"/>
          <w:sz w:val="32"/>
          <w:szCs w:val="32"/>
          <w:lang w:val="en-US" w:eastAsia="zh-CN"/>
        </w:rPr>
        <w:t>。另外</w:t>
      </w:r>
      <w:r>
        <w:rPr>
          <w:rFonts w:hint="eastAsia" w:ascii="仿宋" w:hAnsi="仿宋" w:eastAsia="仿宋" w:cs="仿宋"/>
          <w:b w:val="0"/>
          <w:bCs w:val="0"/>
          <w:sz w:val="32"/>
          <w:szCs w:val="32"/>
          <w:lang w:val="en-US" w:eastAsia="zh-CN"/>
        </w:rPr>
        <w:t>我市</w:t>
      </w:r>
      <w:r>
        <w:rPr>
          <w:rFonts w:hint="default" w:ascii="仿宋" w:hAnsi="仿宋" w:eastAsia="仿宋" w:cs="仿宋"/>
          <w:b w:val="0"/>
          <w:bCs w:val="0"/>
          <w:sz w:val="32"/>
          <w:szCs w:val="32"/>
          <w:lang w:val="en-US" w:eastAsia="zh-CN"/>
        </w:rPr>
        <w:t>工业经过前几年的高速发展，基数较大，存量企业挖潜困难。</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仿宋" w:hAnsi="仿宋" w:eastAsia="仿宋" w:cs="仿宋"/>
          <w:b w:val="0"/>
          <w:bCs w:val="0"/>
          <w:sz w:val="32"/>
          <w:szCs w:val="32"/>
          <w:lang w:val="en-US" w:eastAsia="zh-CN"/>
        </w:rPr>
        <w:t>上半年以来，电力企业增长势头良好，为历年来增长最好的一年，对拉动经济增长起到了积极作用。但有些问题需关注：一是电力企业的持续稳步发展问题，如今年电力企业产值高速发展随之来年的持续发展问题；二是随着雨季的来临，企业丰水期弃水限电及丰水期电价低等问题带来的产值拉动影响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heme="minorHAnsi" w:hAnsiTheme="minorHAnsi" w:eastAsiaTheme="minorEastAsia" w:cstheme="minorBidi"/>
          <w:kern w:val="2"/>
          <w:sz w:val="21"/>
          <w:szCs w:val="24"/>
          <w:lang w:val="en-US" w:eastAsia="zh-CN" w:bidi="ar-SA"/>
        </w:rPr>
      </w:pPr>
      <w:r>
        <w:rPr>
          <w:rFonts w:hint="eastAsia" w:ascii="方正仿宋_GBK" w:hAnsi="方正仿宋_GBK" w:eastAsia="方正仿宋_GBK" w:cs="方正仿宋_GBK"/>
          <w:sz w:val="32"/>
          <w:szCs w:val="32"/>
          <w:lang w:val="en-US" w:eastAsia="zh-CN"/>
        </w:rPr>
        <w:t>三、下一步工作计划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下半年，将持续深入企业强化运行服务，具体从以下三个方向</w:t>
      </w:r>
      <w:r>
        <w:rPr>
          <w:rFonts w:hint="eastAsia" w:ascii="仿宋" w:hAnsi="仿宋" w:eastAsia="仿宋" w:cs="仿宋"/>
          <w:sz w:val="32"/>
          <w:szCs w:val="32"/>
          <w:lang w:val="en-US" w:eastAsia="zh-CN"/>
        </w:rPr>
        <w:t>着力抓好工作：</w:t>
      </w:r>
    </w:p>
    <w:p>
      <w:pPr>
        <w:widowControl w:val="0"/>
        <w:spacing w:after="120"/>
        <w:ind w:firstLine="640" w:firstLineChars="200"/>
        <w:jc w:val="both"/>
        <w:textAlignment w:val="baseline"/>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 w:hAnsi="仿宋" w:eastAsia="仿宋" w:cs="仿宋"/>
          <w:kern w:val="2"/>
          <w:sz w:val="32"/>
          <w:szCs w:val="32"/>
          <w:lang w:val="en-US" w:eastAsia="zh-CN" w:bidi="ar-SA"/>
        </w:rPr>
        <w:t>一是</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强化各项保障措施。从企业申报补贴等方面，支持企业</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稳步发展</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加强指导规上企业积极申报2022年省级制造业高质量发展专项资金、州级民营专项资金等政策措施，</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纾解企业实际困难。</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从</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政策</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宣传指导方向，积极向企业宣传省、州市政府出台的鼓励支持企业发展的稳增长政策措施，让企业及时了解最新政策动态，为企业及时准确提供决策信息服务，及时做好政策解疑释惑工作。</w:t>
      </w:r>
    </w:p>
    <w:p>
      <w:pPr>
        <w:widowControl w:val="0"/>
        <w:spacing w:after="120"/>
        <w:ind w:firstLine="640" w:firstLineChars="200"/>
        <w:jc w:val="both"/>
        <w:textAlignment w:val="baseline"/>
        <w:rPr>
          <w:rFonts w:hint="eastAsia" w:ascii="仿宋" w:hAnsi="仿宋" w:eastAsia="仿宋" w:cs="仿宋"/>
          <w:b w:val="0"/>
          <w:bCs w:val="0"/>
          <w:sz w:val="32"/>
          <w:szCs w:val="32"/>
          <w:lang w:val="en-US" w:eastAsia="zh-CN"/>
        </w:rPr>
      </w:pP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二是持续加强工业经济运行监测，紧盯重点产业和重点企业，力促骨干企业生产经营稳定运行。</w:t>
      </w:r>
    </w:p>
    <w:p>
      <w:pPr>
        <w:widowControl/>
        <w:shd w:val="clear" w:color="FFFFFF" w:fill="FFFFFF"/>
        <w:adjustRightInd/>
        <w:snapToGrid/>
        <w:spacing w:before="150" w:after="150" w:line="240" w:lineRule="atLeast"/>
        <w:ind w:firstLine="640" w:firstLineChars="200"/>
        <w:jc w:val="left"/>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三是持续抓好工业企业</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培育升规</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工作。</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抓好深入企业服务工作的契机，</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及时</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传达各项</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政策</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措施，</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更好</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地</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为企业服务，</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重点督促圣达乳业、对外贸易等企业升规达规工作，</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以促后续支撑。</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及时向规上企业和电力企业宣传安全生产各项通知精神，督促企业把安全生产放在第一位，在安全的前提下才生产，切实落实好企业安全生产主体责任，以稳安全促经济发展。</w:t>
      </w:r>
    </w:p>
    <w:p>
      <w:pPr>
        <w:widowControl/>
        <w:shd w:val="clear" w:color="FFFFFF" w:fill="FFFFFF"/>
        <w:adjustRightInd/>
        <w:snapToGrid/>
        <w:spacing w:before="150" w:after="150" w:line="240" w:lineRule="atLeast"/>
        <w:jc w:val="left"/>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pPr>
    </w:p>
    <w:p>
      <w:pPr>
        <w:widowControl/>
        <w:shd w:val="clear" w:color="FFFFFF" w:fill="FFFFFF"/>
        <w:adjustRightInd/>
        <w:snapToGrid/>
        <w:spacing w:before="150" w:after="150" w:line="240" w:lineRule="atLeast"/>
        <w:ind w:firstLine="640" w:firstLineChars="200"/>
        <w:jc w:val="right"/>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C098"/>
    <w:multiLevelType w:val="singleLevel"/>
    <w:tmpl w:val="ADABC0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WExYzRkNDQ5YzY2YjA5ZWE2NDRhM2E0YjJjMTYifQ=="/>
  </w:docVars>
  <w:rsids>
    <w:rsidRoot w:val="6EEE53CC"/>
    <w:rsid w:val="17BD0441"/>
    <w:rsid w:val="1B2B37F2"/>
    <w:rsid w:val="266905F4"/>
    <w:rsid w:val="3B0A1A00"/>
    <w:rsid w:val="592B5BD1"/>
    <w:rsid w:val="5C5231F3"/>
    <w:rsid w:val="5E612425"/>
    <w:rsid w:val="6EEE53CC"/>
    <w:rsid w:val="72946AC6"/>
    <w:rsid w:val="76740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2022-05-25T00:34:00Z</dcterms:created>
  <dc:creator>lenovo</dc:creator>
  <cp:lastModifiedBy>和治婷</cp:lastModifiedBy>
  <dcterms:modified xsi:type="dcterms:W3CDTF">2023-12-01T03:33:53Z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54459F88517340C08F4F9065E81824ED_12</vt:lpwstr>
  </property>
</Properties>
</file>