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香格里拉市教育体育局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预算公开目录（汇总）</w:t>
      </w:r>
    </w:p>
    <w:p>
      <w:pPr>
        <w:spacing w:line="57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7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香格里拉市教育体育局</w:t>
      </w:r>
      <w:r>
        <w:rPr>
          <w:rFonts w:hint="eastAsia" w:ascii="黑体" w:hAnsi="黑体" w:eastAsia="黑体"/>
          <w:sz w:val="32"/>
          <w:szCs w:val="32"/>
          <w:lang w:eastAsia="zh-CN"/>
        </w:rPr>
        <w:t>2026</w:t>
      </w:r>
      <w:r>
        <w:rPr>
          <w:rFonts w:hint="eastAsia" w:ascii="黑体" w:hAnsi="黑体" w:eastAsia="黑体"/>
          <w:sz w:val="32"/>
          <w:szCs w:val="32"/>
        </w:rPr>
        <w:t>年部门预算编制说明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一、基本职能及主要工作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二、预算单位基本情况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三、预算单位收入情况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四、预算单位支出情况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五、对下专项转移支付情况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六、政府采购预算情况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七、部门“三公”经费增减变化情况及原因说明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八、重点项目预算绩效目标情况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九、其他公开信息</w:t>
      </w:r>
    </w:p>
    <w:p>
      <w:pPr>
        <w:spacing w:line="57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香格里拉市教育体育局</w:t>
      </w:r>
      <w:r>
        <w:rPr>
          <w:rFonts w:hint="eastAsia" w:ascii="黑体" w:hAnsi="黑体" w:eastAsia="黑体"/>
          <w:sz w:val="32"/>
          <w:szCs w:val="32"/>
          <w:lang w:eastAsia="zh-CN"/>
        </w:rPr>
        <w:t>2026</w:t>
      </w:r>
      <w:r>
        <w:rPr>
          <w:rFonts w:hint="eastAsia" w:ascii="黑体" w:hAnsi="黑体" w:eastAsia="黑体"/>
          <w:sz w:val="32"/>
          <w:szCs w:val="32"/>
        </w:rPr>
        <w:t>年部门预算表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一、部门财务收支预算总表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二、部门收入预算表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三、部门支出预算表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四、部门财政拨款收支预算总表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五、一般公共预算支出预算表（按功能科目分类）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六、一般公共预算“三公”经费支出预算表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七、部门基本支出预算表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八、部门项目支出预算表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九、部门项目支出绩效目标表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十、部门政府性基金预算支出预算表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十一、部门政府采购预算表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十二、部门政府购买服务预算表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十三、对下转移支付预算表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十四、对下转移支付绩效目标表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十五、新增资产配置表</w:t>
      </w:r>
    </w:p>
    <w:p>
      <w:pPr>
        <w:spacing w:line="57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十六、上级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转移支付</w:t>
      </w:r>
      <w:r>
        <w:rPr>
          <w:rFonts w:hint="eastAsia" w:eastAsia="仿宋_GB2312"/>
          <w:sz w:val="32"/>
          <w:szCs w:val="32"/>
        </w:rPr>
        <w:t>补助项目支出预算表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十七、部门项目中期规划预算表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ind w:firstLine="880" w:firstLineChars="20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香格里拉市教育体育局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kern w:val="0"/>
          <w:sz w:val="44"/>
          <w:szCs w:val="44"/>
        </w:rPr>
        <w:t>年</w:t>
      </w:r>
    </w:p>
    <w:p>
      <w:pPr>
        <w:widowControl/>
        <w:spacing w:line="590" w:lineRule="exact"/>
        <w:ind w:firstLine="880" w:firstLineChars="20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部门预算编制说明（汇总）</w:t>
      </w:r>
    </w:p>
    <w:p>
      <w:pPr>
        <w:widowControl/>
        <w:spacing w:line="590" w:lineRule="exact"/>
        <w:ind w:firstLine="720" w:firstLineChars="200"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一、基本职能及主要工作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（一）部门主要职责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1、贯彻执行党和国家的教育体育方针政策、法律法规、决定指示、规划计划和规章制度，制定本地区具体实施办法和补充规定，并组织实施和监督管理。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2、统一管理基础教育、职业技术教育、成人教育、学前教育和特殊教育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协同乡（镇）政府，管理乡（镇）教育行政组织机构。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3、编制全市教育体育事业发展规划和年度计划，统一编制协调全市各类教育体育事业的发展，指导所属乡（镇）制订教育体育事业发展规划，规范办学行为和体育服务管理，推动体育标准化建设，负责全市体育彩票销售的监督管理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4、统筹规划全市群众体育发展，负责推动多元化体育服务体系建设，推进体育公共服务，推行全民健身计划，监督实施国家体育锻炼标准，推动国民体质监测和社会体育指导工作队伍制度建设，指导公共体育实施建设，负责对公共体育实施的监督管理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5、统筹规划全市竞技体育发展，指导协调体育训练和体育竞赛，指导全市运动员队伍建设；统筹规划全市青少年体育发展，指导和推进青少年体育工作；负责全市举办的国内重大比赛的指导、组织协调，指导参加州级以上综合性运动会的组织管理及统筹安排，指导、协调、监督全市的体育竞赛工作；负责组织协调、监督全市体育运动中的反兴奋剂工作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6、统一指导全市各级各类学校的教育、教学、体育、卫生、安全、勤工俭学等各项工作，开展教研活动，推动教育改革，提高教育质量。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7、加强本市学校干部、教师队伍的教师，按照有关规定对学校干部、教师队伍加强管理，做好学校干部、教师队伍的培养工作。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8、管理教育体育经费，负责全市教育体育经费的分配，根据中央、国务院的要求，按照各级人民政府的部署，负责完成有关资助工作。负责全市学生资助管理工作，生源地学生信用贷款管理工作，生源地信用贷款等相关贷后管理工作，中等职业学校的国家助学金管理等资助工作。检查监督教育体育事业经费的使用，组织和推动全市学校的教师建设，改善办学条件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9、指导全市各级各类学校和公共体育实施设备的信息技术标准化建设，组织和指导教学仪器、电教设备的供应、使用和管理工作。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10、指导、各类全市对外体育的交流与合作的有关工作，组织实施大型对外体育交流活动。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11、协调政府检查指导各乡（镇）教育、体育行政工作。加强对全市各类学校工作的指导、检查、考评。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12、组织全市各级各类学校的学籍管理和招生工作。完成教育体育事业的各项统计工作。</w:t>
      </w:r>
      <w:r>
        <w:rPr>
          <w:rFonts w:hint="eastAsia" w:eastAsia="仿宋_GB2312"/>
          <w:kern w:val="0"/>
          <w:sz w:val="32"/>
          <w:szCs w:val="32"/>
        </w:rPr>
        <w:br w:type="textWrapping"/>
      </w:r>
      <w:r>
        <w:rPr>
          <w:rFonts w:hint="eastAsia" w:eastAsia="仿宋_GB2312"/>
          <w:kern w:val="0"/>
          <w:sz w:val="32"/>
          <w:szCs w:val="32"/>
        </w:rPr>
        <w:t xml:space="preserve">    13、组织全系统编制年度预、决算工作，做好日常会计工作与编制各类报表。严格执行财务制度，掌握资金使用范围标准，完成教育统计，指导全市校舍改造、体育场馆、校产管理和勤工俭学工作，协调完成建设项目申报、审计工作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14、协调教育部门和其他部门单位的关系，共同办好教育，为本市教育事业的发展创造良好条件。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15、完成市委、市政府和市委教育工作领导小组交办的其他任务。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（二）机构设置情况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我部门共设置12个内设机构，包括：办公室、教育股、财务室、人事股、招生办、体育股、党组德育股、少体校、督导室、安全股、资助中心、项目办。</w:t>
      </w:r>
    </w:p>
    <w:p>
      <w:pPr>
        <w:pStyle w:val="2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所属单位2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</w:rPr>
        <w:t>个，分别是：1、香格里拉市教育体育局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2、香格里拉市第一中学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3、香格里拉市第二中学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4、香格里拉市第三中学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5、香格里拉市建塘镇建塘小学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6、香格里拉市建塘镇尼史小学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7、香格里拉市建塘镇独克宗小学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8、香格里拉市建塘镇纳赤塘小学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9、香格里拉市红旗小学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10、香格里拉市实验小学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11、香格里拉市民族小学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12、香格里拉市幼儿园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13、香格里拉特殊教育学校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14、香格里拉市东旺乡小学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15、香格里拉市格咱乡小学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16、香格里拉市五境乡小学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17、香格里拉市上江乡小学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18、香格里拉市金江镇小学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19、香格里拉市虎跳峡镇小学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20、香格里拉市洛吉乡小学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21香格里拉市三坝乡白水台小学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22、香格里拉市三坝乡东坝小学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23、香格里拉市小中甸镇小学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24、香格里拉市教师发展中心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25、香格里拉市尼西乡小学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26、香格里拉市虎跳峡镇第二小学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</w:rPr>
        <w:t>三</w:t>
      </w:r>
      <w:r>
        <w:rPr>
          <w:rFonts w:ascii="楷体_GB2312" w:eastAsia="楷体_GB2312"/>
          <w:kern w:val="0"/>
          <w:sz w:val="32"/>
          <w:szCs w:val="32"/>
        </w:rPr>
        <w:t>）重点工作概述</w:t>
      </w:r>
    </w:p>
    <w:p>
      <w:pPr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1、全面改善办学条件，向标准化小学和幼儿园靠齐，完成部分幼儿园规范办园行为评估工作。</w:t>
      </w:r>
    </w:p>
    <w:p>
      <w:pPr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2、深入推进教育体制改革。加大城乡教师交流、校长轮岗力度，因校制宜稳步推进教学改革，切实提高教育教学质量。</w:t>
      </w:r>
    </w:p>
    <w:p>
      <w:pPr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3、扩大优质教育资源。严格执行国家课程方案计划，着力解决农村中小学英语、信息技术、音体美等课程难以开足的问题，继续进行幼儿园等级提升工作，提高幼儿教育办学水平。</w:t>
      </w:r>
    </w:p>
    <w:p>
      <w:pPr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4、加强学校安全管理。巩固学校安全管理成果，继续加强安全知识宣传教育，积极开展各类安全演练，不断提高师生安全防范意识和自护自救能力。加强学校安全常规管理和建设，充实人防、物防、技防力量，提高学校安全防范水平，确保师生生命安全，维护正常教学秩序。</w:t>
      </w:r>
    </w:p>
    <w:p>
      <w:pPr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5、加强教师队伍建设。全面推行教职工全员聘用制，进一步完善教师补充机制、流动机制，切实解决中小学教师结构不合理的问题。不断完善义务教育阶段绩效工资实施方案，健全教师考核评价机制，充分调动广大教师工作的积极性和主动性。加大教师培训力度，精心制定培训计划，合理安排暑期教师培训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6、举办各项赛事活动，推进民族体育发展。完成社会体育指导员培训和国民体质监测工作，组织举办香格里拉市老年人健步走、元旦穿城跑活动、端午节赛马活动等。</w:t>
      </w:r>
    </w:p>
    <w:p>
      <w:pPr>
        <w:pStyle w:val="2"/>
        <w:ind w:firstLine="64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7、各类学校根据学期方案和工作计划完成教学任务和教学质量的提升，提高校园常规管理的实效性。</w:t>
      </w:r>
    </w:p>
    <w:p>
      <w:pPr>
        <w:pStyle w:val="2"/>
        <w:ind w:firstLine="64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8、抓好校园食品、安全、卫生、消防等管理工作，推动综合治理的工作能力，完善各类制度建设。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9、加强师德师风建设，提高教师队伍的职业素养和教学水平，不断培养发展骨干教师、学科带头人、为教师参加各类能力提升培训提供条件。</w:t>
      </w:r>
    </w:p>
    <w:p>
      <w:pPr>
        <w:pStyle w:val="2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10、做好优质均衡达标各项工作，及时补充和完善优质均衡达标各项指标。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二、预算单位基本情况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我部门编制</w:t>
      </w:r>
      <w:r>
        <w:rPr>
          <w:rFonts w:hint="eastAsia" w:eastAsia="仿宋_GB2312"/>
          <w:kern w:val="0"/>
          <w:sz w:val="32"/>
          <w:szCs w:val="32"/>
          <w:lang w:eastAsia="zh-CN"/>
        </w:rPr>
        <w:t>2026</w:t>
      </w:r>
      <w:r>
        <w:rPr>
          <w:rFonts w:eastAsia="仿宋_GB2312"/>
          <w:kern w:val="0"/>
          <w:sz w:val="32"/>
          <w:szCs w:val="32"/>
        </w:rPr>
        <w:t>年部门预算单位共</w:t>
      </w:r>
      <w:r>
        <w:rPr>
          <w:rFonts w:hint="eastAsia" w:eastAsia="仿宋_GB2312"/>
          <w:kern w:val="0"/>
          <w:sz w:val="32"/>
          <w:szCs w:val="32"/>
        </w:rPr>
        <w:t>26</w:t>
      </w:r>
      <w:r>
        <w:rPr>
          <w:rFonts w:eastAsia="仿宋_GB2312"/>
          <w:kern w:val="0"/>
          <w:sz w:val="32"/>
          <w:szCs w:val="32"/>
        </w:rPr>
        <w:t>个。其中：财政</w:t>
      </w:r>
      <w:r>
        <w:rPr>
          <w:rFonts w:hint="eastAsia" w:eastAsia="仿宋_GB2312"/>
          <w:kern w:val="0"/>
          <w:sz w:val="32"/>
          <w:szCs w:val="32"/>
        </w:rPr>
        <w:t>全额</w:t>
      </w:r>
      <w:r>
        <w:rPr>
          <w:rFonts w:eastAsia="仿宋_GB2312"/>
          <w:kern w:val="0"/>
          <w:sz w:val="32"/>
          <w:szCs w:val="32"/>
        </w:rPr>
        <w:t>供给单位</w:t>
      </w:r>
      <w:r>
        <w:rPr>
          <w:rFonts w:hint="eastAsia" w:eastAsia="仿宋_GB2312"/>
          <w:kern w:val="0"/>
          <w:sz w:val="32"/>
          <w:szCs w:val="32"/>
        </w:rPr>
        <w:t>26</w:t>
      </w:r>
      <w:r>
        <w:rPr>
          <w:rFonts w:eastAsia="仿宋_GB2312"/>
          <w:kern w:val="0"/>
          <w:sz w:val="32"/>
          <w:szCs w:val="32"/>
        </w:rPr>
        <w:t>个</w:t>
      </w:r>
      <w:r>
        <w:rPr>
          <w:rFonts w:hint="eastAsia" w:eastAsia="仿宋_GB2312"/>
          <w:kern w:val="0"/>
          <w:sz w:val="32"/>
          <w:szCs w:val="32"/>
        </w:rPr>
        <w:t>、差额</w:t>
      </w:r>
      <w:r>
        <w:rPr>
          <w:rFonts w:eastAsia="仿宋_GB2312"/>
          <w:kern w:val="0"/>
          <w:sz w:val="32"/>
          <w:szCs w:val="32"/>
        </w:rPr>
        <w:t>供给单位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</w:t>
      </w:r>
      <w:r>
        <w:rPr>
          <w:rFonts w:hint="eastAsia" w:eastAsia="仿宋_GB2312"/>
          <w:kern w:val="0"/>
          <w:sz w:val="32"/>
          <w:szCs w:val="32"/>
        </w:rPr>
        <w:t>、定额补助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自收自支单位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个。财政</w:t>
      </w:r>
      <w:r>
        <w:rPr>
          <w:rFonts w:hint="eastAsia" w:eastAsia="仿宋_GB2312"/>
          <w:kern w:val="0"/>
          <w:sz w:val="32"/>
          <w:szCs w:val="32"/>
        </w:rPr>
        <w:t>全额</w:t>
      </w:r>
      <w:r>
        <w:rPr>
          <w:rFonts w:eastAsia="仿宋_GB2312"/>
          <w:kern w:val="0"/>
          <w:sz w:val="32"/>
          <w:szCs w:val="32"/>
        </w:rPr>
        <w:t>供给单位中行政单位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个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参公单位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事业单位</w:t>
      </w:r>
      <w:r>
        <w:rPr>
          <w:rFonts w:hint="eastAsia" w:eastAsia="仿宋_GB2312"/>
          <w:kern w:val="0"/>
          <w:sz w:val="32"/>
          <w:szCs w:val="32"/>
        </w:rPr>
        <w:t>25</w:t>
      </w:r>
      <w:r>
        <w:rPr>
          <w:rFonts w:eastAsia="仿宋_GB2312"/>
          <w:kern w:val="0"/>
          <w:sz w:val="32"/>
          <w:szCs w:val="32"/>
        </w:rPr>
        <w:t>个。截止</w:t>
      </w:r>
      <w:r>
        <w:rPr>
          <w:rFonts w:hint="eastAsia"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年12月统计，部门基本情况如下：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在职人员编制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1873</w:t>
      </w:r>
      <w:r>
        <w:rPr>
          <w:rFonts w:eastAsia="仿宋_GB2312"/>
          <w:color w:val="auto"/>
          <w:kern w:val="0"/>
          <w:sz w:val="32"/>
          <w:szCs w:val="32"/>
        </w:rPr>
        <w:t>人，其中：行政编制</w:t>
      </w:r>
      <w:r>
        <w:rPr>
          <w:rFonts w:hint="eastAsia" w:eastAsia="仿宋_GB2312"/>
          <w:color w:val="auto"/>
          <w:kern w:val="0"/>
          <w:sz w:val="32"/>
          <w:szCs w:val="32"/>
        </w:rPr>
        <w:t>11</w:t>
      </w:r>
      <w:r>
        <w:rPr>
          <w:rFonts w:eastAsia="仿宋_GB2312"/>
          <w:color w:val="auto"/>
          <w:kern w:val="0"/>
          <w:sz w:val="32"/>
          <w:szCs w:val="32"/>
        </w:rPr>
        <w:t>人，</w:t>
      </w:r>
      <w:r>
        <w:rPr>
          <w:rFonts w:hint="eastAsia" w:eastAsia="仿宋_GB2312"/>
          <w:color w:val="auto"/>
          <w:kern w:val="0"/>
          <w:sz w:val="32"/>
          <w:szCs w:val="32"/>
        </w:rPr>
        <w:t>行政公勤编制1人，</w:t>
      </w:r>
      <w:r>
        <w:rPr>
          <w:rFonts w:eastAsia="仿宋_GB2312"/>
          <w:color w:val="auto"/>
          <w:kern w:val="0"/>
          <w:sz w:val="32"/>
          <w:szCs w:val="32"/>
        </w:rPr>
        <w:t>事业编制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1861</w:t>
      </w:r>
      <w:r>
        <w:rPr>
          <w:rFonts w:eastAsia="仿宋_GB2312"/>
          <w:color w:val="auto"/>
          <w:kern w:val="0"/>
          <w:sz w:val="32"/>
          <w:szCs w:val="32"/>
        </w:rPr>
        <w:t>人。在职实有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2262</w:t>
      </w:r>
      <w:r>
        <w:rPr>
          <w:rFonts w:eastAsia="仿宋_GB2312"/>
          <w:color w:val="auto"/>
          <w:kern w:val="0"/>
          <w:sz w:val="32"/>
          <w:szCs w:val="32"/>
        </w:rPr>
        <w:t>人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含提前退休401人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，其中： 财政</w:t>
      </w:r>
      <w:r>
        <w:rPr>
          <w:rFonts w:hint="eastAsia" w:eastAsia="仿宋_GB2312"/>
          <w:color w:val="auto"/>
          <w:kern w:val="0"/>
          <w:sz w:val="32"/>
          <w:szCs w:val="32"/>
        </w:rPr>
        <w:t>全额保障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2262</w:t>
      </w:r>
      <w:r>
        <w:rPr>
          <w:rFonts w:eastAsia="仿宋_GB2312"/>
          <w:color w:val="auto"/>
          <w:kern w:val="0"/>
          <w:sz w:val="32"/>
          <w:szCs w:val="32"/>
        </w:rPr>
        <w:t>人，财政</w:t>
      </w:r>
      <w:r>
        <w:rPr>
          <w:rFonts w:hint="eastAsia" w:eastAsia="仿宋_GB2312"/>
          <w:color w:val="auto"/>
          <w:kern w:val="0"/>
          <w:sz w:val="32"/>
          <w:szCs w:val="32"/>
        </w:rPr>
        <w:t>差额补助0</w:t>
      </w:r>
      <w:r>
        <w:rPr>
          <w:rFonts w:eastAsia="仿宋_GB2312"/>
          <w:color w:val="auto"/>
          <w:kern w:val="0"/>
          <w:sz w:val="32"/>
          <w:szCs w:val="32"/>
        </w:rPr>
        <w:t>人，</w:t>
      </w:r>
      <w:r>
        <w:rPr>
          <w:rFonts w:hint="eastAsia" w:eastAsia="仿宋_GB2312"/>
          <w:color w:val="auto"/>
          <w:kern w:val="0"/>
          <w:sz w:val="32"/>
          <w:szCs w:val="32"/>
        </w:rPr>
        <w:t>财政专户资金、单位资金保障0</w:t>
      </w:r>
      <w:r>
        <w:rPr>
          <w:rFonts w:eastAsia="仿宋_GB2312"/>
          <w:color w:val="auto"/>
          <w:kern w:val="0"/>
          <w:sz w:val="32"/>
          <w:szCs w:val="32"/>
        </w:rPr>
        <w:t>人。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FF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离退休人员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1139</w:t>
      </w:r>
      <w:r>
        <w:rPr>
          <w:rFonts w:eastAsia="仿宋_GB2312"/>
          <w:color w:val="auto"/>
          <w:kern w:val="0"/>
          <w:sz w:val="32"/>
          <w:szCs w:val="32"/>
        </w:rPr>
        <w:t>人，其中： 离休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人，退休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1137</w:t>
      </w:r>
      <w:r>
        <w:rPr>
          <w:rFonts w:eastAsia="仿宋_GB2312"/>
          <w:color w:val="auto"/>
          <w:kern w:val="0"/>
          <w:sz w:val="32"/>
          <w:szCs w:val="32"/>
        </w:rPr>
        <w:t>人。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车辆编制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auto"/>
          <w:kern w:val="0"/>
          <w:sz w:val="32"/>
          <w:szCs w:val="32"/>
        </w:rPr>
        <w:t>辆，实有车辆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辆</w:t>
      </w:r>
      <w:r>
        <w:rPr>
          <w:rFonts w:hint="eastAsia" w:eastAsia="仿宋_GB2312"/>
          <w:color w:val="auto"/>
          <w:kern w:val="0"/>
          <w:sz w:val="32"/>
          <w:szCs w:val="32"/>
        </w:rPr>
        <w:t>，超编0辆。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编制数与实有数不一致的原因是部分学校有车编，但实际没有车辆。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三、预算单位收入情况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（一）部门财务收入情况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2026</w:t>
      </w:r>
      <w:r>
        <w:rPr>
          <w:rFonts w:eastAsia="仿宋_GB2312"/>
          <w:color w:val="auto"/>
          <w:kern w:val="0"/>
          <w:sz w:val="32"/>
          <w:szCs w:val="32"/>
        </w:rPr>
        <w:t>年部门财务总收入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72044.87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，其中：一般公共预算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72044.87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，政府性基金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，国有资本经营</w:t>
      </w:r>
      <w:r>
        <w:rPr>
          <w:rFonts w:hint="eastAsia" w:eastAsia="仿宋_GB2312"/>
          <w:color w:val="auto"/>
          <w:kern w:val="0"/>
          <w:sz w:val="32"/>
          <w:szCs w:val="32"/>
        </w:rPr>
        <w:t>收益0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财政专户管理资金收入0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eastAsia="仿宋_GB2312"/>
          <w:color w:val="auto"/>
          <w:kern w:val="0"/>
          <w:sz w:val="32"/>
          <w:szCs w:val="32"/>
        </w:rPr>
        <w:t>事业收入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，事业单位经营收入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万元，上级补助收入0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万元，附属单位上缴收入0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，其他收入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与上年的65914.18万元对比增加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6130.69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9.30</w:t>
      </w:r>
      <w:r>
        <w:rPr>
          <w:rFonts w:hint="eastAsia" w:eastAsia="仿宋_GB2312"/>
          <w:color w:val="auto"/>
          <w:kern w:val="0"/>
          <w:sz w:val="32"/>
          <w:szCs w:val="32"/>
        </w:rPr>
        <w:t>%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，增加的</w:t>
      </w:r>
      <w:r>
        <w:rPr>
          <w:rFonts w:hint="eastAsia" w:eastAsia="仿宋_GB2312"/>
          <w:color w:val="auto"/>
          <w:kern w:val="0"/>
          <w:sz w:val="32"/>
          <w:szCs w:val="32"/>
        </w:rPr>
        <w:t>主要原因分析是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人员经费提高标准，食堂劳务购买服务增加，新增加项目</w:t>
      </w:r>
      <w:r>
        <w:rPr>
          <w:rFonts w:hint="eastAsia" w:eastAsia="仿宋_GB2312"/>
          <w:color w:val="auto"/>
          <w:kern w:val="0"/>
          <w:sz w:val="32"/>
          <w:szCs w:val="32"/>
        </w:rPr>
        <w:t>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ascii="楷体_GB2312" w:eastAsia="楷体_GB2312"/>
          <w:color w:val="auto"/>
          <w:kern w:val="0"/>
          <w:sz w:val="32"/>
          <w:szCs w:val="32"/>
        </w:rPr>
        <w:t>（二）财政拨款收入情况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2026</w:t>
      </w:r>
      <w:r>
        <w:rPr>
          <w:rFonts w:eastAsia="仿宋_GB2312"/>
          <w:color w:val="auto"/>
          <w:kern w:val="0"/>
          <w:sz w:val="32"/>
          <w:szCs w:val="32"/>
        </w:rPr>
        <w:t>年部门财政拨款收入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72044.87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，其中:本年收入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72044.87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，上年结转</w:t>
      </w:r>
      <w:r>
        <w:rPr>
          <w:rFonts w:hint="eastAsia" w:eastAsia="仿宋_GB2312"/>
          <w:color w:val="auto"/>
          <w:kern w:val="0"/>
          <w:sz w:val="32"/>
          <w:szCs w:val="32"/>
        </w:rPr>
        <w:t>收入0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。本年收入中，一般公共预算财政拨款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72044.87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，政府性基金</w:t>
      </w:r>
      <w:r>
        <w:rPr>
          <w:rFonts w:hint="eastAsia" w:eastAsia="仿宋_GB2312"/>
          <w:color w:val="auto"/>
          <w:kern w:val="0"/>
          <w:sz w:val="32"/>
          <w:szCs w:val="32"/>
        </w:rPr>
        <w:t>预算</w:t>
      </w:r>
      <w:r>
        <w:rPr>
          <w:rFonts w:eastAsia="仿宋_GB2312"/>
          <w:color w:val="auto"/>
          <w:kern w:val="0"/>
          <w:sz w:val="32"/>
          <w:szCs w:val="32"/>
        </w:rPr>
        <w:t>财政拨款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，国有资本经营</w:t>
      </w:r>
      <w:r>
        <w:rPr>
          <w:rFonts w:hint="eastAsia" w:eastAsia="仿宋_GB2312"/>
          <w:color w:val="auto"/>
          <w:kern w:val="0"/>
          <w:sz w:val="32"/>
          <w:szCs w:val="32"/>
        </w:rPr>
        <w:t>收益</w:t>
      </w:r>
      <w:r>
        <w:rPr>
          <w:rFonts w:eastAsia="仿宋_GB2312"/>
          <w:color w:val="auto"/>
          <w:kern w:val="0"/>
          <w:sz w:val="32"/>
          <w:szCs w:val="32"/>
        </w:rPr>
        <w:t>财政拨款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与上年的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65914.18</w:t>
      </w:r>
      <w:r>
        <w:rPr>
          <w:rFonts w:hint="eastAsia" w:eastAsia="仿宋_GB2312"/>
          <w:color w:val="auto"/>
          <w:kern w:val="0"/>
          <w:sz w:val="32"/>
          <w:szCs w:val="32"/>
        </w:rPr>
        <w:t>万元对比增加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6130.69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9.30</w:t>
      </w:r>
      <w:r>
        <w:rPr>
          <w:rFonts w:hint="eastAsia" w:eastAsia="仿宋_GB2312"/>
          <w:color w:val="auto"/>
          <w:kern w:val="0"/>
          <w:sz w:val="32"/>
          <w:szCs w:val="32"/>
        </w:rPr>
        <w:t>%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，增加的</w:t>
      </w:r>
      <w:r>
        <w:rPr>
          <w:rFonts w:hint="eastAsia" w:eastAsia="仿宋_GB2312"/>
          <w:color w:val="auto"/>
          <w:kern w:val="0"/>
          <w:sz w:val="32"/>
          <w:szCs w:val="32"/>
        </w:rPr>
        <w:t>主要原因分析是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人员经费提高标准，食堂劳务购买服务增加，新增加项目</w:t>
      </w:r>
      <w:r>
        <w:rPr>
          <w:rFonts w:hint="eastAsia" w:eastAsia="仿宋_GB2312"/>
          <w:color w:val="auto"/>
          <w:kern w:val="0"/>
          <w:sz w:val="32"/>
          <w:szCs w:val="32"/>
        </w:rPr>
        <w:t>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9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ascii="黑体" w:hAnsi="黑体" w:eastAsia="黑体"/>
          <w:color w:val="auto"/>
          <w:kern w:val="0"/>
          <w:sz w:val="32"/>
          <w:szCs w:val="32"/>
        </w:rPr>
        <w:t>预算单位支出情况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2026</w:t>
      </w:r>
      <w:r>
        <w:rPr>
          <w:rFonts w:eastAsia="仿宋_GB2312"/>
          <w:color w:val="auto"/>
          <w:kern w:val="0"/>
          <w:sz w:val="32"/>
          <w:szCs w:val="32"/>
        </w:rPr>
        <w:t>年部门预算总支出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72044.87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。</w:t>
      </w:r>
      <w:r>
        <w:rPr>
          <w:rFonts w:hint="eastAsia" w:eastAsia="仿宋_GB2312"/>
          <w:color w:val="auto"/>
          <w:kern w:val="0"/>
          <w:sz w:val="32"/>
          <w:szCs w:val="32"/>
        </w:rPr>
        <w:t>财政拨款</w:t>
      </w:r>
      <w:r>
        <w:rPr>
          <w:rFonts w:eastAsia="仿宋_GB2312"/>
          <w:color w:val="auto"/>
          <w:kern w:val="0"/>
          <w:sz w:val="32"/>
          <w:szCs w:val="32"/>
        </w:rPr>
        <w:t>安排支出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72044.87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，其中</w:t>
      </w:r>
      <w:r>
        <w:rPr>
          <w:rFonts w:hint="eastAsia" w:eastAsia="仿宋_GB2312"/>
          <w:color w:val="auto"/>
          <w:kern w:val="0"/>
          <w:sz w:val="32"/>
          <w:szCs w:val="32"/>
        </w:rPr>
        <w:t>：</w:t>
      </w:r>
      <w:r>
        <w:rPr>
          <w:rFonts w:eastAsia="仿宋_GB2312"/>
          <w:color w:val="auto"/>
          <w:kern w:val="0"/>
          <w:sz w:val="32"/>
          <w:szCs w:val="32"/>
        </w:rPr>
        <w:t>基本支出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69777.99</w:t>
      </w:r>
      <w:r>
        <w:rPr>
          <w:rFonts w:hint="eastAsia" w:eastAsia="仿宋_GB2312"/>
          <w:color w:val="auto"/>
          <w:kern w:val="0"/>
          <w:sz w:val="32"/>
          <w:szCs w:val="32"/>
        </w:rPr>
        <w:t>万元，与上年的64996.09万元对比增加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4781.90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7.36</w:t>
      </w:r>
      <w:r>
        <w:rPr>
          <w:rFonts w:hint="eastAsia" w:eastAsia="仿宋_GB2312"/>
          <w:color w:val="auto"/>
          <w:kern w:val="0"/>
          <w:sz w:val="32"/>
          <w:szCs w:val="32"/>
        </w:rPr>
        <w:t>%，主要原因分析是全市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人员经费提高标准</w:t>
      </w:r>
      <w:r>
        <w:rPr>
          <w:rFonts w:hint="eastAsia" w:eastAsia="仿宋_GB2312"/>
          <w:color w:val="auto"/>
          <w:kern w:val="0"/>
          <w:sz w:val="32"/>
          <w:szCs w:val="32"/>
        </w:rPr>
        <w:t>等；</w:t>
      </w:r>
      <w:r>
        <w:rPr>
          <w:rFonts w:eastAsia="仿宋_GB2312"/>
          <w:color w:val="auto"/>
          <w:kern w:val="0"/>
          <w:sz w:val="32"/>
          <w:szCs w:val="32"/>
        </w:rPr>
        <w:t>项目支出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2266.87</w:t>
      </w:r>
      <w:r>
        <w:rPr>
          <w:rFonts w:hint="eastAsia" w:eastAsia="仿宋_GB2312"/>
          <w:color w:val="auto"/>
          <w:kern w:val="0"/>
          <w:sz w:val="32"/>
          <w:szCs w:val="32"/>
        </w:rPr>
        <w:t>万元，与上年的918.09万元对比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增加1348.78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增长146.91</w:t>
      </w:r>
      <w:r>
        <w:rPr>
          <w:rFonts w:hint="eastAsia" w:eastAsia="仿宋_GB2312"/>
          <w:color w:val="auto"/>
          <w:kern w:val="0"/>
          <w:sz w:val="32"/>
          <w:szCs w:val="32"/>
        </w:rPr>
        <w:t>%，主要原因分析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是食堂劳务购买服务增加，新增加项目</w:t>
      </w:r>
      <w:r>
        <w:rPr>
          <w:rFonts w:hint="eastAsia" w:eastAsia="仿宋_GB2312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hint="eastAsia" w:eastAsia="仿宋_GB2312"/>
          <w:color w:val="4F81BD" w:themeColor="accent1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财政拨款安排支出按功能科目分类情况，主</w:t>
      </w:r>
      <w:r>
        <w:rPr>
          <w:rFonts w:eastAsia="仿宋_GB2312"/>
          <w:color w:val="auto"/>
          <w:kern w:val="0"/>
          <w:sz w:val="32"/>
          <w:szCs w:val="32"/>
        </w:rPr>
        <w:t>要用于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color w:val="auto"/>
          <w:kern w:val="0"/>
          <w:sz w:val="32"/>
          <w:szCs w:val="32"/>
        </w:rPr>
        <w:t>工资福利支出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单位五险部分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学生资助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办公经费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体检费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党建经费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政府教育督导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差旅费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水电费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食堂临聘人员工资等。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2050101-行政运行，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299.34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减少28.97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8.82</w:t>
      </w:r>
      <w:r>
        <w:rPr>
          <w:rFonts w:hint="eastAsia" w:eastAsia="仿宋_GB2312"/>
          <w:color w:val="auto"/>
          <w:kern w:val="0"/>
          <w:sz w:val="32"/>
          <w:szCs w:val="32"/>
        </w:rPr>
        <w:t>%,主要用于行政人员工资五险等，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2"/>
          <w:szCs w:val="32"/>
        </w:rPr>
        <w:t>的原因是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局机关退休2名公务员和1名行政工勤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2050199-其他教育管理事务支出，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1715.10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增加305.57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增长21.68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%，主要用于党建、政府督导、质量监测，新招聘教师面试、体育美育教育、学生体检费、优质均衡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食堂劳务购买服务</w:t>
      </w:r>
      <w:r>
        <w:rPr>
          <w:rFonts w:hint="eastAsia" w:eastAsia="仿宋_GB2312"/>
          <w:color w:val="auto"/>
          <w:kern w:val="0"/>
          <w:sz w:val="32"/>
          <w:szCs w:val="32"/>
        </w:rPr>
        <w:t>等工作开支，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增加的</w:t>
      </w:r>
      <w:r>
        <w:rPr>
          <w:rFonts w:hint="eastAsia" w:eastAsia="仿宋_GB2312"/>
          <w:color w:val="auto"/>
          <w:kern w:val="0"/>
          <w:sz w:val="32"/>
          <w:szCs w:val="32"/>
        </w:rPr>
        <w:t>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食堂购买服务人员增加，相应资金增加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val="en-US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2050201-学前教育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3750.31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较上年增加924.49万元，增长32.72%，</w:t>
      </w:r>
      <w:r>
        <w:rPr>
          <w:rFonts w:hint="eastAsia" w:eastAsia="仿宋_GB2312"/>
          <w:color w:val="auto"/>
          <w:kern w:val="0"/>
          <w:sz w:val="32"/>
          <w:szCs w:val="32"/>
        </w:rPr>
        <w:t>主要用于全市公办幼儿园教职人员工资、五险、办公费、生均公用经费等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增加的原因是人员经费调标，班主任绩效、乡村教师生活补助等由学校列支，以及退休人员减少，所以增加。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val="en-US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2050202-小学教育，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33876.29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2984.04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9.66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%，主要用于全市小学教职人员工资、五险、办公费、生均公用经费等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人员经费调标，班主任绩效、乡村教师生活补助等由学校列支，以及退休人员减少，所以增加。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2050203-初中教育，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12702.13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增加1037.68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增长8.90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%，主要用于全市初中教职人员工资、五险、办公费、生均公用经费等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人员经费调标，班主任绩效、乡村教师生活补助等由学校列支，以及退休人员减少，所以增加。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2050701-特殊学校教育，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673.95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57.09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9.25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%，主要用于特殊教育学校教职人员工资、五险、办公费、特殊公用经费等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人员经费调标，班主任绩效、乡村教师生活补助等由学校列支，以及退休人员减少，所以增加。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2050801-教师进修，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1150.25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增加146.15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增长14.56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%，主要用于教师发展中心人员工资、五险、办公费等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人员经费调标，班主任绩效、乡村教师生活补助等由学校列支，以及退休人员减少，所以增加。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2050803-培训支出，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万元，较上年减少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73.33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%，主要用于教师培训业务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减少的原因是部分资金未批复等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2059999-其他教育支出，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42.83</w:t>
      </w:r>
      <w:r>
        <w:rPr>
          <w:rFonts w:hint="eastAsia" w:eastAsia="仿宋_GB2312"/>
          <w:color w:val="auto"/>
          <w:kern w:val="0"/>
          <w:sz w:val="32"/>
          <w:szCs w:val="32"/>
        </w:rPr>
        <w:t>万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，较上年减少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12.17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22.13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%，主要用于教育事业的其他方面支出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减少的原因是部分资金未批复以及部分项目不再继续实施等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2070308-群众体育，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109.65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10.30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10.37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%，主要用于少体校工资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五险、办公费、差旅费、工会等，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是</w:t>
      </w:r>
      <w:r>
        <w:rPr>
          <w:rFonts w:hint="eastAsia" w:eastAsia="仿宋_GB2312"/>
          <w:color w:val="auto"/>
          <w:kern w:val="0"/>
          <w:sz w:val="32"/>
          <w:szCs w:val="32"/>
        </w:rPr>
        <w:t>人员岗位调整和工资调标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2080505-机关事业单位基本养老保险缴费支出，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6701.83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129.59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1.97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缴纳</w:t>
      </w:r>
      <w:r>
        <w:rPr>
          <w:rFonts w:hint="eastAsia" w:eastAsia="仿宋_GB2312"/>
          <w:color w:val="auto"/>
          <w:kern w:val="0"/>
          <w:sz w:val="32"/>
          <w:szCs w:val="32"/>
        </w:rPr>
        <w:t>全市教体系统在职人员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和提前退休人员</w:t>
      </w:r>
      <w:r>
        <w:rPr>
          <w:rFonts w:hint="eastAsia" w:eastAsia="仿宋_GB2312"/>
          <w:color w:val="auto"/>
          <w:kern w:val="0"/>
          <w:sz w:val="32"/>
          <w:szCs w:val="32"/>
        </w:rPr>
        <w:t>的养老保险单位部分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增加的原因是工资调标核算，基数增加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2080599-其他行政事业单位养老支出，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46.77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0.84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1.83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%，主要用于退休人员慰问等公用经费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增加的原因是工资调标核算，基数增加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2080801-死亡抚恤，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173.45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9.85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6.02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%，主要用于全市教体系统遗属补助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增加的原因是遗属补助标准提升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以及退休去世人员增加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2101101-行政单位医疗，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18.38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减少2.09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下降10.21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%，主要用于缴纳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行政人员</w:t>
      </w:r>
      <w:r>
        <w:rPr>
          <w:rFonts w:hint="eastAsia" w:eastAsia="仿宋_GB2312"/>
          <w:color w:val="auto"/>
          <w:kern w:val="0"/>
          <w:sz w:val="32"/>
          <w:szCs w:val="32"/>
        </w:rPr>
        <w:t>基本医疗保险单位部分，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2"/>
          <w:szCs w:val="32"/>
        </w:rPr>
        <w:t>的原因是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退休3人。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2101102-事业单位医疗，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3044.64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78.06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2.63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%，主要用于缴纳事业人员基本医疗保险单位部分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增加的原因是工资调标核算，基数增加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color w:val="4F81BD" w:themeColor="accent1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2101103-公务员医疗补助，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2310.79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123.1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5.63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%，主要用于缴纳主要用于缴纳公务员医疗保险单位部分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增加的原因是工资调标核算，基数增加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ind w:firstLine="960" w:firstLineChars="300"/>
        <w:jc w:val="lef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2101199-其他行政事业单位医疗支出，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146.20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减少1.93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下降1.30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%，主要用于缴纳大病保险和工伤保险单位部分。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2"/>
          <w:szCs w:val="32"/>
        </w:rPr>
        <w:t>的原因是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调整核算标准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ind w:firstLine="960" w:firstLineChars="300"/>
        <w:jc w:val="lef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2210201-住房公积金，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5274.76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394.14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8.08</w:t>
      </w:r>
      <w:r>
        <w:rPr>
          <w:rFonts w:hint="eastAsia" w:eastAsia="仿宋_GB2312"/>
          <w:color w:val="auto"/>
          <w:kern w:val="0"/>
          <w:sz w:val="32"/>
          <w:szCs w:val="32"/>
        </w:rPr>
        <w:t>%，主要用于缴纳全市教体系统在职人员公积金单位部分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增加的原因是工资调标核算，基数增加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2"/>
        </w:numPr>
        <w:spacing w:line="59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ascii="黑体" w:hAnsi="黑体" w:eastAsia="黑体"/>
          <w:color w:val="auto"/>
          <w:kern w:val="0"/>
          <w:sz w:val="32"/>
          <w:szCs w:val="32"/>
        </w:rPr>
        <w:t>对下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专</w:t>
      </w:r>
      <w:r>
        <w:rPr>
          <w:rFonts w:ascii="黑体" w:hAnsi="黑体" w:eastAsia="黑体"/>
          <w:color w:val="auto"/>
          <w:kern w:val="0"/>
          <w:sz w:val="32"/>
          <w:szCs w:val="32"/>
        </w:rPr>
        <w:t>项转移支付情况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（一）与中央配套事项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香格里拉市教育体育局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年无与中央配套事项。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（二）按既定政策标准测算补助事项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香格里拉市教育体育局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年无按既定政策标准测算补助事项。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（三）经济社会事业发展事项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香格里拉市教育体育局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年无经济社会事业发展事项。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ascii="黑体" w:hAnsi="黑体" w:eastAsia="黑体"/>
          <w:color w:val="auto"/>
          <w:kern w:val="0"/>
          <w:sz w:val="32"/>
          <w:szCs w:val="32"/>
        </w:rPr>
        <w:t>六、政府采购预算情况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根据《中华人民共和国政府采购法》的有关规定，编制了政府采购预算，共涉及采购项目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46</w:t>
      </w:r>
      <w:r>
        <w:rPr>
          <w:rFonts w:eastAsia="仿宋_GB2312"/>
          <w:color w:val="auto"/>
          <w:kern w:val="0"/>
          <w:sz w:val="32"/>
          <w:szCs w:val="32"/>
        </w:rPr>
        <w:t>个，</w:t>
      </w:r>
      <w:r>
        <w:rPr>
          <w:rFonts w:hint="eastAsia" w:eastAsia="仿宋_GB2312"/>
          <w:color w:val="auto"/>
          <w:kern w:val="0"/>
          <w:sz w:val="32"/>
          <w:szCs w:val="32"/>
        </w:rPr>
        <w:t>政府</w:t>
      </w:r>
      <w:r>
        <w:rPr>
          <w:rFonts w:eastAsia="仿宋_GB2312"/>
          <w:color w:val="auto"/>
          <w:kern w:val="0"/>
          <w:sz w:val="32"/>
          <w:szCs w:val="32"/>
        </w:rPr>
        <w:t>采购预算</w:t>
      </w:r>
      <w:r>
        <w:rPr>
          <w:rFonts w:hint="eastAsia" w:eastAsia="仿宋_GB2312"/>
          <w:color w:val="auto"/>
          <w:kern w:val="0"/>
          <w:sz w:val="32"/>
          <w:szCs w:val="32"/>
        </w:rPr>
        <w:t>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943.79</w:t>
      </w:r>
      <w:r>
        <w:rPr>
          <w:rFonts w:hint="eastAsia" w:eastAsia="仿宋_GB2312"/>
          <w:color w:val="auto"/>
          <w:kern w:val="0"/>
          <w:sz w:val="32"/>
          <w:szCs w:val="32"/>
        </w:rPr>
        <w:t>万元，其中：政府采购货物预算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19.06</w:t>
      </w:r>
      <w:r>
        <w:rPr>
          <w:rFonts w:hint="eastAsia" w:eastAsia="仿宋_GB2312"/>
          <w:color w:val="auto"/>
          <w:kern w:val="0"/>
          <w:sz w:val="32"/>
          <w:szCs w:val="32"/>
        </w:rPr>
        <w:t>万元、政府采购服务预算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924.73</w:t>
      </w:r>
      <w:r>
        <w:rPr>
          <w:rFonts w:hint="eastAsia" w:eastAsia="仿宋_GB2312"/>
          <w:color w:val="auto"/>
          <w:kern w:val="0"/>
          <w:sz w:val="32"/>
          <w:szCs w:val="32"/>
        </w:rPr>
        <w:t>元、政府采购工程预算0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元。</w:t>
      </w:r>
    </w:p>
    <w:p>
      <w:pPr>
        <w:widowControl/>
        <w:spacing w:line="590" w:lineRule="exact"/>
        <w:ind w:firstLine="640" w:firstLineChars="200"/>
        <w:rPr>
          <w:rFonts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七、部门“三公”经费增减变化情况及原因说明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香格里拉市教育体育局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2026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eastAsia="仿宋_GB2312"/>
          <w:color w:val="auto"/>
          <w:kern w:val="0"/>
          <w:sz w:val="32"/>
          <w:szCs w:val="32"/>
        </w:rPr>
        <w:t>一般公共预算财政拨款“三公</w:t>
      </w:r>
      <w:r>
        <w:rPr>
          <w:rFonts w:hint="eastAsia" w:eastAsia="仿宋_GB2312"/>
          <w:color w:val="auto"/>
          <w:kern w:val="0"/>
          <w:sz w:val="32"/>
          <w:szCs w:val="32"/>
        </w:rPr>
        <w:t>”</w:t>
      </w:r>
      <w:r>
        <w:rPr>
          <w:rFonts w:eastAsia="仿宋_GB2312"/>
          <w:color w:val="auto"/>
          <w:kern w:val="0"/>
          <w:sz w:val="32"/>
          <w:szCs w:val="32"/>
        </w:rPr>
        <w:t>经费</w:t>
      </w:r>
      <w:r>
        <w:rPr>
          <w:rFonts w:hint="eastAsia" w:eastAsia="仿宋_GB2312"/>
          <w:color w:val="auto"/>
          <w:kern w:val="0"/>
          <w:sz w:val="32"/>
          <w:szCs w:val="32"/>
        </w:rPr>
        <w:t>预</w:t>
      </w:r>
      <w:r>
        <w:rPr>
          <w:rFonts w:eastAsia="仿宋_GB2312"/>
          <w:color w:val="auto"/>
          <w:kern w:val="0"/>
          <w:sz w:val="32"/>
          <w:szCs w:val="32"/>
        </w:rPr>
        <w:t>算</w:t>
      </w:r>
      <w:r>
        <w:rPr>
          <w:rFonts w:hint="eastAsia" w:eastAsia="仿宋_GB2312"/>
          <w:color w:val="auto"/>
          <w:kern w:val="0"/>
          <w:sz w:val="32"/>
          <w:szCs w:val="32"/>
        </w:rPr>
        <w:t>合计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16.97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增加2.73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增长19.17</w:t>
      </w:r>
      <w:r>
        <w:rPr>
          <w:rFonts w:eastAsia="仿宋_GB2312"/>
          <w:color w:val="auto"/>
          <w:kern w:val="0"/>
          <w:sz w:val="32"/>
          <w:szCs w:val="32"/>
        </w:rPr>
        <w:t>%</w:t>
      </w:r>
      <w:r>
        <w:rPr>
          <w:rFonts w:hint="eastAsia" w:eastAsia="仿宋_GB2312"/>
          <w:color w:val="auto"/>
          <w:kern w:val="0"/>
          <w:sz w:val="32"/>
          <w:szCs w:val="32"/>
        </w:rPr>
        <w:t>，具体变动情况如下：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eastAsia="楷体_GB2312"/>
          <w:color w:val="auto"/>
          <w:kern w:val="0"/>
          <w:sz w:val="32"/>
          <w:szCs w:val="32"/>
        </w:rPr>
        <w:t>（一）</w:t>
      </w:r>
      <w:r>
        <w:rPr>
          <w:rFonts w:ascii="楷体_GB2312" w:eastAsia="楷体_GB2312"/>
          <w:color w:val="auto"/>
          <w:kern w:val="0"/>
          <w:sz w:val="32"/>
          <w:szCs w:val="32"/>
        </w:rPr>
        <w:t>因公出国（境）费</w:t>
      </w:r>
    </w:p>
    <w:p>
      <w:pPr>
        <w:widowControl/>
        <w:spacing w:line="59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香格里拉市教育体育局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2026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eastAsia="仿宋_GB2312"/>
          <w:color w:val="auto"/>
          <w:kern w:val="0"/>
          <w:sz w:val="32"/>
          <w:szCs w:val="32"/>
        </w:rPr>
        <w:t>因公出国（境）费</w:t>
      </w:r>
      <w:r>
        <w:rPr>
          <w:rFonts w:hint="eastAsia" w:eastAsia="仿宋_GB2312"/>
          <w:color w:val="auto"/>
          <w:kern w:val="0"/>
          <w:sz w:val="32"/>
          <w:szCs w:val="32"/>
        </w:rPr>
        <w:t>预算为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，较上年</w:t>
      </w:r>
      <w:r>
        <w:rPr>
          <w:rFonts w:hint="eastAsia" w:eastAsia="仿宋_GB2312"/>
          <w:color w:val="auto"/>
          <w:kern w:val="0"/>
          <w:sz w:val="32"/>
          <w:szCs w:val="32"/>
        </w:rPr>
        <w:t>增加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增长0.00</w:t>
      </w:r>
      <w:r>
        <w:rPr>
          <w:rFonts w:eastAsia="仿宋_GB2312"/>
          <w:color w:val="auto"/>
          <w:kern w:val="0"/>
          <w:sz w:val="32"/>
          <w:szCs w:val="32"/>
        </w:rPr>
        <w:t>%，共计安排因公出国（境）团组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eastAsia="仿宋_GB2312"/>
          <w:color w:val="auto"/>
          <w:kern w:val="0"/>
          <w:sz w:val="32"/>
          <w:szCs w:val="32"/>
        </w:rPr>
        <w:t>个，因公出国（境）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eastAsia="仿宋_GB2312"/>
          <w:color w:val="auto"/>
          <w:kern w:val="0"/>
          <w:sz w:val="32"/>
          <w:szCs w:val="32"/>
        </w:rPr>
        <w:t>人次</w:t>
      </w:r>
      <w:r>
        <w:rPr>
          <w:rFonts w:hint="eastAsia" w:eastAsia="仿宋_GB2312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与上年对比无变化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eastAsia="楷体_GB2312"/>
          <w:color w:val="auto"/>
          <w:kern w:val="0"/>
          <w:sz w:val="32"/>
          <w:szCs w:val="32"/>
        </w:rPr>
        <w:t>（二）</w:t>
      </w:r>
      <w:r>
        <w:rPr>
          <w:rFonts w:ascii="楷体_GB2312" w:eastAsia="楷体_GB2312"/>
          <w:color w:val="auto"/>
          <w:kern w:val="0"/>
          <w:sz w:val="32"/>
          <w:szCs w:val="32"/>
        </w:rPr>
        <w:t>公务接待费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香格里拉市教育体育局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2026</w:t>
      </w:r>
      <w:r>
        <w:rPr>
          <w:rFonts w:hint="eastAsia" w:eastAsia="仿宋_GB2312"/>
          <w:color w:val="auto"/>
          <w:kern w:val="0"/>
          <w:sz w:val="32"/>
          <w:szCs w:val="32"/>
        </w:rPr>
        <w:t>年公务接待费预算</w:t>
      </w:r>
      <w:r>
        <w:rPr>
          <w:rFonts w:eastAsia="仿宋_GB2312"/>
          <w:color w:val="auto"/>
          <w:kern w:val="0"/>
          <w:sz w:val="32"/>
          <w:szCs w:val="32"/>
        </w:rPr>
        <w:t>为</w:t>
      </w:r>
      <w:r>
        <w:rPr>
          <w:rFonts w:hint="eastAsia" w:eastAsia="仿宋_GB2312"/>
          <w:color w:val="auto"/>
          <w:kern w:val="0"/>
          <w:sz w:val="32"/>
          <w:szCs w:val="32"/>
        </w:rPr>
        <w:t>0.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，较上年</w:t>
      </w:r>
      <w:r>
        <w:rPr>
          <w:rFonts w:hint="eastAsia" w:eastAsia="仿宋_GB2312"/>
          <w:color w:val="auto"/>
          <w:kern w:val="0"/>
          <w:sz w:val="32"/>
          <w:szCs w:val="32"/>
        </w:rPr>
        <w:t>减少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0.60</w:t>
      </w:r>
      <w:r>
        <w:rPr>
          <w:rFonts w:hint="eastAsia" w:eastAsia="仿宋_GB2312"/>
          <w:color w:val="auto"/>
          <w:kern w:val="0"/>
          <w:sz w:val="32"/>
          <w:szCs w:val="32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eastAsia="仿宋_GB2312"/>
          <w:color w:val="auto"/>
          <w:kern w:val="0"/>
          <w:sz w:val="32"/>
          <w:szCs w:val="32"/>
        </w:rPr>
        <w:t>%，国内公务接待批次为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eastAsia="仿宋_GB2312"/>
          <w:color w:val="auto"/>
          <w:kern w:val="0"/>
          <w:sz w:val="32"/>
          <w:szCs w:val="32"/>
        </w:rPr>
        <w:t>次，共计接待</w:t>
      </w:r>
      <w:r>
        <w:rPr>
          <w:rFonts w:hint="eastAsia" w:eastAsia="仿宋_GB2312"/>
          <w:color w:val="auto"/>
          <w:kern w:val="0"/>
          <w:sz w:val="32"/>
          <w:szCs w:val="32"/>
        </w:rPr>
        <w:t>0</w:t>
      </w:r>
      <w:r>
        <w:rPr>
          <w:rFonts w:eastAsia="仿宋_GB2312"/>
          <w:color w:val="auto"/>
          <w:kern w:val="0"/>
          <w:sz w:val="32"/>
          <w:szCs w:val="32"/>
        </w:rPr>
        <w:t>人次</w:t>
      </w:r>
      <w:r>
        <w:rPr>
          <w:rFonts w:hint="eastAsia" w:eastAsia="仿宋_GB2312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减少的原因是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细化遗漏了接待费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eastAsia="楷体_GB2312"/>
          <w:color w:val="auto"/>
          <w:kern w:val="0"/>
          <w:sz w:val="32"/>
          <w:szCs w:val="32"/>
        </w:rPr>
        <w:t>（三）</w:t>
      </w:r>
      <w:r>
        <w:rPr>
          <w:rFonts w:ascii="楷体_GB2312" w:eastAsia="楷体_GB2312"/>
          <w:color w:val="auto"/>
          <w:kern w:val="0"/>
          <w:sz w:val="32"/>
          <w:szCs w:val="32"/>
        </w:rPr>
        <w:t>公务用车购置及运行维护费</w:t>
      </w:r>
    </w:p>
    <w:p>
      <w:pPr>
        <w:widowControl/>
        <w:spacing w:line="59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香格里拉市教育体育局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2026</w:t>
      </w:r>
      <w:r>
        <w:rPr>
          <w:rFonts w:hint="eastAsia" w:eastAsia="仿宋_GB2312"/>
          <w:color w:val="auto"/>
          <w:kern w:val="0"/>
          <w:sz w:val="32"/>
          <w:szCs w:val="32"/>
        </w:rPr>
        <w:t>年公务用车购置及运行维护费为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16.97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增加3.33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增长24.41</w:t>
      </w:r>
      <w:r>
        <w:rPr>
          <w:rFonts w:hint="eastAsia" w:eastAsia="仿宋_GB2312"/>
          <w:color w:val="auto"/>
          <w:kern w:val="0"/>
          <w:sz w:val="32"/>
          <w:szCs w:val="32"/>
        </w:rPr>
        <w:t>万%。其中：公务用车购置费0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万元，较上年增加0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/>
          <w:color w:val="auto"/>
          <w:kern w:val="0"/>
          <w:sz w:val="32"/>
          <w:szCs w:val="32"/>
        </w:rPr>
        <w:t>万元，增长0.00%；公务用车运行维护费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16.97</w:t>
      </w:r>
      <w:r>
        <w:rPr>
          <w:rFonts w:hint="eastAsia" w:eastAsia="仿宋_GB2312"/>
          <w:color w:val="auto"/>
          <w:kern w:val="0"/>
          <w:sz w:val="32"/>
          <w:szCs w:val="32"/>
        </w:rPr>
        <w:t>万元，较上年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增加3.33</w:t>
      </w:r>
      <w:r>
        <w:rPr>
          <w:rFonts w:hint="eastAsia" w:eastAsia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增长24.41</w:t>
      </w:r>
      <w:r>
        <w:rPr>
          <w:rFonts w:hint="eastAsia" w:eastAsia="仿宋_GB2312"/>
          <w:color w:val="auto"/>
          <w:kern w:val="0"/>
          <w:sz w:val="32"/>
          <w:szCs w:val="32"/>
        </w:rPr>
        <w:t>%。共计购置公务用车0辆，年末公务用车保有量为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辆。</w:t>
      </w:r>
    </w:p>
    <w:p>
      <w:pPr>
        <w:widowControl/>
        <w:spacing w:line="59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经费增加</w:t>
      </w:r>
      <w:r>
        <w:rPr>
          <w:rFonts w:hint="eastAsia" w:eastAsia="仿宋_GB2312"/>
          <w:color w:val="auto"/>
          <w:kern w:val="0"/>
          <w:sz w:val="32"/>
          <w:szCs w:val="32"/>
        </w:rPr>
        <w:t>的原因是学校的公务用车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恢复</w:t>
      </w:r>
      <w:r>
        <w:rPr>
          <w:rFonts w:hint="eastAsia" w:eastAsia="仿宋_GB2312"/>
          <w:color w:val="auto"/>
          <w:kern w:val="0"/>
          <w:sz w:val="32"/>
          <w:szCs w:val="32"/>
        </w:rPr>
        <w:t>纳入预算进行保障。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车辆减少的原因是部分学校因车辆老旧进行了报废处置。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八、重点项目预算绩效目标情况</w:t>
      </w:r>
    </w:p>
    <w:p>
      <w:pPr>
        <w:pStyle w:val="2"/>
        <w:ind w:firstLine="640" w:firstLineChars="200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香格里拉市教育体育局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年无财政部门确定的重点项目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故无重点项目预算绩效目标情况。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九</w:t>
      </w:r>
      <w:r>
        <w:rPr>
          <w:rFonts w:ascii="黑体" w:hAnsi="黑体" w:eastAsia="黑体"/>
          <w:color w:val="auto"/>
          <w:kern w:val="0"/>
          <w:sz w:val="32"/>
          <w:szCs w:val="32"/>
        </w:rPr>
        <w:t>、其他公开信息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ascii="楷体_GB2312" w:eastAsia="楷体_GB2312"/>
          <w:color w:val="auto"/>
          <w:kern w:val="0"/>
          <w:sz w:val="32"/>
          <w:szCs w:val="32"/>
        </w:rPr>
        <w:t>（一）专业名词解释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财政拨款收入——是指财政部门当年拨付的资金。</w:t>
      </w:r>
    </w:p>
    <w:p>
      <w:pPr>
        <w:pStyle w:val="2"/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基本支出——是指为保障机构正常运转、完成日常工作任务所必须的开支，其内容包括人员经费和日常公用经费两部分。</w:t>
      </w:r>
    </w:p>
    <w:p>
      <w:pPr>
        <w:widowControl/>
        <w:spacing w:line="59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课后服务费——是指学校在正常教育教学时间之外，为学生提供的额外服务活动所产生的费用。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ascii="楷体_GB2312" w:eastAsia="楷体_GB2312"/>
          <w:color w:val="auto"/>
          <w:kern w:val="0"/>
          <w:sz w:val="32"/>
          <w:szCs w:val="32"/>
        </w:rPr>
        <w:t>（二）机关运行经费安排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变化情况及原因说明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香格里拉市教育体育局202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年机关运行经费安排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29.93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万元，与上年的30.04万元对比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减少0.11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下降0.37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%，主要原因分析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2025年底退休2人，新进2人导致工资净值差异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  <w:t>（三）委托业务费安排变化情况及原因说明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香格里拉市教育体育局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年委托业务费安排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0.6万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元，与上年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的0.6万元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对比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减少0.00万元，降低0.00%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，主要原因分析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是我单位委托业务为财务咨询费每年固定金额，故无变化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3" w:firstLineChars="200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b/>
          <w:bCs/>
          <w:color w:val="auto"/>
          <w:kern w:val="0"/>
          <w:sz w:val="32"/>
          <w:szCs w:val="32"/>
        </w:rPr>
        <w:t>）</w:t>
      </w:r>
      <w:r>
        <w:rPr>
          <w:rFonts w:ascii="楷体_GB2312" w:eastAsia="楷体_GB2312"/>
          <w:b/>
          <w:bCs/>
          <w:color w:val="auto"/>
          <w:kern w:val="0"/>
          <w:sz w:val="32"/>
          <w:szCs w:val="32"/>
        </w:rPr>
        <w:t>国有资产占</w:t>
      </w:r>
      <w:r>
        <w:rPr>
          <w:rFonts w:hint="eastAsia" w:ascii="楷体_GB2312" w:eastAsia="楷体_GB2312"/>
          <w:b/>
          <w:bCs/>
          <w:color w:val="auto"/>
          <w:kern w:val="0"/>
          <w:sz w:val="32"/>
          <w:szCs w:val="32"/>
        </w:rPr>
        <w:t>有使用</w:t>
      </w:r>
      <w:r>
        <w:rPr>
          <w:rFonts w:ascii="楷体_GB2312" w:eastAsia="楷体_GB2312"/>
          <w:b/>
          <w:bCs/>
          <w:color w:val="auto"/>
          <w:kern w:val="0"/>
          <w:sz w:val="32"/>
          <w:szCs w:val="32"/>
        </w:rPr>
        <w:t>情况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截至2025年12月31日，我单位资产总额（账面净值，下同）83356.05万元，较上年减少4.49%。负债总额6608.94万元,较上年减少16.57%。净资产76747.11万元,较上年减少3.29%。其中：流动资产7865.88万元，占总资产的9.44%，非流动资产75490.16万元，占总资产的90.56%：其中固定资产净值70501.99万元，占总资产的84.58%；无形资产净值4988.17万元，占总资产的5.98%。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与上年的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87278.10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万元相比，本年资产总额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减少3922.05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万元（其中固定资产减少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3358.22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万元，流动资产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减少404.46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万元，无形资产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减少159.37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万元），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下降4.49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%，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减少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的原因是学校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处置设备、家具用具、车辆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资产，以及固定资产折旧和无形资产摊销增加，净值减少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鉴于截至202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年12月31日的国有资产占有使用精准数据，需在完成202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年决算编制后才能汇总，此处公开为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年1月资产月报数。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</w:p>
    <w:p>
      <w:pPr>
        <w:pStyle w:val="2"/>
        <w:rPr>
          <w:rFonts w:hint="eastAsia" w:eastAsia="仿宋_GB2312"/>
          <w:color w:val="4F81BD" w:themeColor="accent1"/>
          <w:kern w:val="0"/>
          <w:sz w:val="32"/>
          <w:szCs w:val="32"/>
        </w:rPr>
      </w:pPr>
    </w:p>
    <w:p>
      <w:pPr>
        <w:pStyle w:val="2"/>
        <w:rPr>
          <w:rFonts w:hint="eastAsia" w:eastAsia="仿宋_GB2312"/>
          <w:color w:val="4F81BD" w:themeColor="accent1"/>
          <w:kern w:val="0"/>
          <w:sz w:val="32"/>
          <w:szCs w:val="32"/>
        </w:rPr>
      </w:pPr>
    </w:p>
    <w:p>
      <w:pPr>
        <w:widowControl/>
        <w:spacing w:line="590" w:lineRule="exact"/>
        <w:rPr>
          <w:rFonts w:eastAsia="仿宋_GB2312"/>
          <w:color w:val="4F81BD" w:themeColor="accent1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90" w:lineRule="exact"/>
        <w:ind w:firstLine="600"/>
        <w:rPr>
          <w:rFonts w:eastAsia="仿宋_GB2312"/>
          <w:color w:val="4F81BD" w:themeColor="accent1"/>
          <w:kern w:val="0"/>
          <w:sz w:val="30"/>
          <w:szCs w:val="30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hAnsi="宋体"/>
                    <w:sz w:val="28"/>
                  </w:rPr>
                </w:pPr>
                <w:r>
                  <w:rPr>
                    <w:rFonts w:hint="eastAsia" w:ascii="宋体" w:hAnsi="宋体"/>
                    <w:sz w:val="28"/>
                  </w:rPr>
                  <w:t>—</w:t>
                </w:r>
                <w:r>
                  <w:rPr>
                    <w:rFonts w:hint="eastAsia" w:ascii="宋体" w:hAnsi="宋体"/>
                    <w:sz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16</w:t>
                </w:r>
                <w:r>
                  <w:rPr>
                    <w:rFonts w:hint="eastAsia" w:ascii="宋体" w:hAnsi="宋体"/>
                    <w:sz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M0NjAxYjM1M2NjMmEwODRmMjZhMmJhMGY5NDNhYmM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04D99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050D0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18A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0E19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47B5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40FE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0DCB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E77E7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16EF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588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4529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C74DA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4D70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1DA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B57"/>
    <w:rsid w:val="00FE5F50"/>
    <w:rsid w:val="00FE7982"/>
    <w:rsid w:val="00FF1B25"/>
    <w:rsid w:val="00FF7A85"/>
    <w:rsid w:val="018B30C2"/>
    <w:rsid w:val="02C265F9"/>
    <w:rsid w:val="03235911"/>
    <w:rsid w:val="03997AC2"/>
    <w:rsid w:val="03F0214E"/>
    <w:rsid w:val="04314F30"/>
    <w:rsid w:val="045C2ADF"/>
    <w:rsid w:val="046F214C"/>
    <w:rsid w:val="04F44A98"/>
    <w:rsid w:val="054A5EB5"/>
    <w:rsid w:val="06325B44"/>
    <w:rsid w:val="06AE4ECD"/>
    <w:rsid w:val="07BB67DE"/>
    <w:rsid w:val="082C4C7B"/>
    <w:rsid w:val="09412610"/>
    <w:rsid w:val="09C70938"/>
    <w:rsid w:val="0A4372AD"/>
    <w:rsid w:val="0A782F2B"/>
    <w:rsid w:val="0AB77A2F"/>
    <w:rsid w:val="0B57477A"/>
    <w:rsid w:val="0BFD28E4"/>
    <w:rsid w:val="0C8377FC"/>
    <w:rsid w:val="0D006D7C"/>
    <w:rsid w:val="0D9F5B85"/>
    <w:rsid w:val="0F635DF8"/>
    <w:rsid w:val="10180236"/>
    <w:rsid w:val="10687993"/>
    <w:rsid w:val="10741D7C"/>
    <w:rsid w:val="10CF5F02"/>
    <w:rsid w:val="111D3473"/>
    <w:rsid w:val="12541B05"/>
    <w:rsid w:val="12A72C53"/>
    <w:rsid w:val="133504F9"/>
    <w:rsid w:val="13B61995"/>
    <w:rsid w:val="14863F3F"/>
    <w:rsid w:val="16120B81"/>
    <w:rsid w:val="165D6CAE"/>
    <w:rsid w:val="16DF634E"/>
    <w:rsid w:val="177B10D8"/>
    <w:rsid w:val="17E531F7"/>
    <w:rsid w:val="18863C4E"/>
    <w:rsid w:val="1907259E"/>
    <w:rsid w:val="19F55BCD"/>
    <w:rsid w:val="1A0B3DDD"/>
    <w:rsid w:val="1A1B6230"/>
    <w:rsid w:val="1A3B7A14"/>
    <w:rsid w:val="1A716F5F"/>
    <w:rsid w:val="1A751B4A"/>
    <w:rsid w:val="1B7457C9"/>
    <w:rsid w:val="1BD73E6F"/>
    <w:rsid w:val="1C27179D"/>
    <w:rsid w:val="1D3B22D3"/>
    <w:rsid w:val="1DD708B6"/>
    <w:rsid w:val="1DE63E53"/>
    <w:rsid w:val="1E924522"/>
    <w:rsid w:val="1F8F6F61"/>
    <w:rsid w:val="20B50589"/>
    <w:rsid w:val="20CC70F5"/>
    <w:rsid w:val="20DB6E4B"/>
    <w:rsid w:val="214E3823"/>
    <w:rsid w:val="21D02FCE"/>
    <w:rsid w:val="2380063A"/>
    <w:rsid w:val="24192B24"/>
    <w:rsid w:val="249262B8"/>
    <w:rsid w:val="25603D6C"/>
    <w:rsid w:val="27C44B4F"/>
    <w:rsid w:val="29684A53"/>
    <w:rsid w:val="2A1E5382"/>
    <w:rsid w:val="2A2D00A9"/>
    <w:rsid w:val="2A63437F"/>
    <w:rsid w:val="2DF47C04"/>
    <w:rsid w:val="2E343CBB"/>
    <w:rsid w:val="2E574E83"/>
    <w:rsid w:val="2E7A1926"/>
    <w:rsid w:val="2E92749B"/>
    <w:rsid w:val="2EC91B9A"/>
    <w:rsid w:val="2F1C119D"/>
    <w:rsid w:val="30A32E5A"/>
    <w:rsid w:val="3227360A"/>
    <w:rsid w:val="38226957"/>
    <w:rsid w:val="38B94E67"/>
    <w:rsid w:val="38D85AB4"/>
    <w:rsid w:val="39466C4F"/>
    <w:rsid w:val="39A86124"/>
    <w:rsid w:val="3A8A588E"/>
    <w:rsid w:val="3AA03338"/>
    <w:rsid w:val="3AC978D1"/>
    <w:rsid w:val="3AE41D4E"/>
    <w:rsid w:val="3B026B0F"/>
    <w:rsid w:val="3B236022"/>
    <w:rsid w:val="3B784830"/>
    <w:rsid w:val="3C1464F1"/>
    <w:rsid w:val="3D884FC1"/>
    <w:rsid w:val="3DAF50BD"/>
    <w:rsid w:val="3DCC2998"/>
    <w:rsid w:val="3DEE7856"/>
    <w:rsid w:val="3E1D7086"/>
    <w:rsid w:val="3E317E18"/>
    <w:rsid w:val="3F5538EE"/>
    <w:rsid w:val="41134E62"/>
    <w:rsid w:val="417D1121"/>
    <w:rsid w:val="418D636A"/>
    <w:rsid w:val="44AA4869"/>
    <w:rsid w:val="454D3EA5"/>
    <w:rsid w:val="488A54A4"/>
    <w:rsid w:val="48A553A3"/>
    <w:rsid w:val="498A65DA"/>
    <w:rsid w:val="49916668"/>
    <w:rsid w:val="4A476EA3"/>
    <w:rsid w:val="4A8A424F"/>
    <w:rsid w:val="4D797BD0"/>
    <w:rsid w:val="4E866A4D"/>
    <w:rsid w:val="51486F2A"/>
    <w:rsid w:val="517D253A"/>
    <w:rsid w:val="52AE5FF2"/>
    <w:rsid w:val="52F4603B"/>
    <w:rsid w:val="53762EEC"/>
    <w:rsid w:val="53E1259B"/>
    <w:rsid w:val="53F26FC1"/>
    <w:rsid w:val="540C7FF2"/>
    <w:rsid w:val="543878C2"/>
    <w:rsid w:val="565C22F4"/>
    <w:rsid w:val="56F77E4E"/>
    <w:rsid w:val="57312F2C"/>
    <w:rsid w:val="57476C71"/>
    <w:rsid w:val="5753107B"/>
    <w:rsid w:val="575350B5"/>
    <w:rsid w:val="57BE5D21"/>
    <w:rsid w:val="58193164"/>
    <w:rsid w:val="5A3B5B99"/>
    <w:rsid w:val="5A3D5D63"/>
    <w:rsid w:val="5A4E6182"/>
    <w:rsid w:val="5A523E5D"/>
    <w:rsid w:val="5A5F2402"/>
    <w:rsid w:val="5AE52219"/>
    <w:rsid w:val="5B4B2AA8"/>
    <w:rsid w:val="5B6F544B"/>
    <w:rsid w:val="5D8A3FC2"/>
    <w:rsid w:val="5E8D610B"/>
    <w:rsid w:val="5FD44DD1"/>
    <w:rsid w:val="611236F1"/>
    <w:rsid w:val="611B2B15"/>
    <w:rsid w:val="612747B2"/>
    <w:rsid w:val="61E45C38"/>
    <w:rsid w:val="646605FE"/>
    <w:rsid w:val="66EF6B43"/>
    <w:rsid w:val="676320BD"/>
    <w:rsid w:val="676E094C"/>
    <w:rsid w:val="6885176F"/>
    <w:rsid w:val="68E14376"/>
    <w:rsid w:val="690F430A"/>
    <w:rsid w:val="69B304BD"/>
    <w:rsid w:val="69C74777"/>
    <w:rsid w:val="6A070C95"/>
    <w:rsid w:val="6A990843"/>
    <w:rsid w:val="6AB34E53"/>
    <w:rsid w:val="6B29789C"/>
    <w:rsid w:val="6C185166"/>
    <w:rsid w:val="6C72764F"/>
    <w:rsid w:val="6CE00556"/>
    <w:rsid w:val="6CE34371"/>
    <w:rsid w:val="6EDA6A94"/>
    <w:rsid w:val="6F2C536B"/>
    <w:rsid w:val="7005690A"/>
    <w:rsid w:val="70497C18"/>
    <w:rsid w:val="706044C2"/>
    <w:rsid w:val="707217B7"/>
    <w:rsid w:val="70F826C0"/>
    <w:rsid w:val="72063E6D"/>
    <w:rsid w:val="720E10EA"/>
    <w:rsid w:val="72150A9E"/>
    <w:rsid w:val="72293730"/>
    <w:rsid w:val="724A4A01"/>
    <w:rsid w:val="73116912"/>
    <w:rsid w:val="73954482"/>
    <w:rsid w:val="73C43C1D"/>
    <w:rsid w:val="744865FE"/>
    <w:rsid w:val="74C2123B"/>
    <w:rsid w:val="75285EA2"/>
    <w:rsid w:val="758343EA"/>
    <w:rsid w:val="76446D01"/>
    <w:rsid w:val="76DD19B6"/>
    <w:rsid w:val="772B1020"/>
    <w:rsid w:val="77C07374"/>
    <w:rsid w:val="7AE93D0D"/>
    <w:rsid w:val="7D4F20E1"/>
    <w:rsid w:val="7D997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annotation subject"/>
    <w:basedOn w:val="4"/>
    <w:next w:val="4"/>
    <w:semiHidden/>
    <w:qFormat/>
    <w:uiPriority w:val="0"/>
    <w:rPr>
      <w:b/>
      <w:bCs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16</Pages>
  <Words>6014</Words>
  <Characters>934</Characters>
  <Lines>7</Lines>
  <Paragraphs>13</Paragraphs>
  <TotalTime>41</TotalTime>
  <ScaleCrop>false</ScaleCrop>
  <LinksUpToDate>false</LinksUpToDate>
  <CharactersWithSpaces>6935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LYY</cp:lastModifiedBy>
  <cp:lastPrinted>2023-12-28T10:33:00Z</cp:lastPrinted>
  <dcterms:modified xsi:type="dcterms:W3CDTF">2026-03-12T01:01:14Z</dcterms:modified>
  <dc:title>年部门预算编制说明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49A9E9FE44D84132BCEB084008FCB068</vt:lpwstr>
  </property>
  <property fmtid="{D5CDD505-2E9C-101B-9397-08002B2CF9AE}" pid="4" name="KSOTemplateDocerSaveRecord">
    <vt:lpwstr>eyJoZGlkIjoiZjM0NjAxYjM1M2NjMmEwODRmMjZhMmJhMGY5NDNhYmMiLCJ1c2VySWQiOiIzNTAwMTI3NzMifQ==</vt:lpwstr>
  </property>
</Properties>
</file>