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ind w:left="0" w:firstLine="420"/>
        <w:jc w:val="left"/>
      </w:pPr>
      <w:r>
        <w:t>监督索引号53340100236000601000</w:t>
      </w:r>
    </w:p>
    <w:p>
      <w:pPr>
        <w:pStyle w:val="2"/>
        <w:keepNext w:val="0"/>
        <w:keepLines w:val="0"/>
        <w:widowControl/>
        <w:suppressLineNumbers w:val="0"/>
        <w:ind w:left="0" w:firstLine="420"/>
        <w:jc w:val="center"/>
      </w:pPr>
      <w:r>
        <w:rPr>
          <w:rStyle w:val="5"/>
          <w:sz w:val="36"/>
          <w:szCs w:val="36"/>
        </w:rPr>
        <w:t>迪庆州香格里拉市教师进修学校2021年度部门决算</w:t>
      </w:r>
    </w:p>
    <w:p>
      <w:pPr>
        <w:pStyle w:val="2"/>
        <w:keepNext w:val="0"/>
        <w:keepLines w:val="0"/>
        <w:widowControl/>
        <w:suppressLineNumbers w:val="0"/>
      </w:pPr>
      <w:r>
        <w:rPr>
          <w:sz w:val="36"/>
          <w:szCs w:val="36"/>
        </w:rPr>
        <w:t> </w:t>
      </w:r>
    </w:p>
    <w:p>
      <w:pPr>
        <w:pStyle w:val="2"/>
        <w:keepNext w:val="0"/>
        <w:keepLines w:val="0"/>
        <w:widowControl/>
        <w:suppressLineNumbers w:val="0"/>
        <w:ind w:left="0" w:firstLine="420"/>
        <w:jc w:val="left"/>
      </w:pPr>
      <w:r>
        <w:rPr>
          <w:sz w:val="36"/>
          <w:szCs w:val="36"/>
        </w:rPr>
        <w:t>目录</w:t>
      </w:r>
    </w:p>
    <w:p>
      <w:pPr>
        <w:pStyle w:val="2"/>
        <w:keepNext w:val="0"/>
        <w:keepLines w:val="0"/>
        <w:widowControl/>
        <w:suppressLineNumbers w:val="0"/>
        <w:ind w:left="0" w:firstLine="420"/>
        <w:jc w:val="left"/>
      </w:pPr>
      <w:r>
        <w:t>第一部分  迪庆州香格里拉市教师进修学校概况</w:t>
      </w:r>
    </w:p>
    <w:p>
      <w:pPr>
        <w:pStyle w:val="2"/>
        <w:keepNext w:val="0"/>
        <w:keepLines w:val="0"/>
        <w:widowControl/>
        <w:suppressLineNumbers w:val="0"/>
        <w:ind w:left="0" w:firstLine="420"/>
        <w:jc w:val="left"/>
      </w:pPr>
      <w:r>
        <w:t>一、主要职能</w:t>
      </w:r>
    </w:p>
    <w:p>
      <w:pPr>
        <w:pStyle w:val="2"/>
        <w:keepNext w:val="0"/>
        <w:keepLines w:val="0"/>
        <w:widowControl/>
        <w:suppressLineNumbers w:val="0"/>
        <w:ind w:left="0" w:firstLine="420"/>
        <w:jc w:val="left"/>
      </w:pPr>
      <w:r>
        <w:t>二、部门基本情况</w:t>
      </w:r>
    </w:p>
    <w:p>
      <w:pPr>
        <w:pStyle w:val="2"/>
        <w:keepNext w:val="0"/>
        <w:keepLines w:val="0"/>
        <w:widowControl/>
        <w:suppressLineNumbers w:val="0"/>
        <w:ind w:left="0" w:firstLine="420"/>
        <w:jc w:val="left"/>
      </w:pPr>
      <w:r>
        <w:t>第二部分  2021年度部门决算表</w:t>
      </w:r>
    </w:p>
    <w:p>
      <w:pPr>
        <w:pStyle w:val="2"/>
        <w:keepNext w:val="0"/>
        <w:keepLines w:val="0"/>
        <w:widowControl/>
        <w:suppressLineNumbers w:val="0"/>
        <w:ind w:left="0" w:firstLine="420"/>
        <w:jc w:val="left"/>
      </w:pPr>
      <w:r>
        <w:t>一、收入支出决算总表</w:t>
      </w:r>
    </w:p>
    <w:p>
      <w:pPr>
        <w:pStyle w:val="2"/>
        <w:keepNext w:val="0"/>
        <w:keepLines w:val="0"/>
        <w:widowControl/>
        <w:suppressLineNumbers w:val="0"/>
        <w:ind w:left="0" w:firstLine="420"/>
        <w:jc w:val="left"/>
      </w:pPr>
      <w:r>
        <w:t>二、收入决算表</w:t>
      </w:r>
    </w:p>
    <w:p>
      <w:pPr>
        <w:pStyle w:val="2"/>
        <w:keepNext w:val="0"/>
        <w:keepLines w:val="0"/>
        <w:widowControl/>
        <w:suppressLineNumbers w:val="0"/>
        <w:ind w:left="0" w:firstLine="420"/>
        <w:jc w:val="left"/>
      </w:pPr>
      <w:r>
        <w:t>三、支出决算表</w:t>
      </w:r>
    </w:p>
    <w:p>
      <w:pPr>
        <w:pStyle w:val="2"/>
        <w:keepNext w:val="0"/>
        <w:keepLines w:val="0"/>
        <w:widowControl/>
        <w:suppressLineNumbers w:val="0"/>
        <w:ind w:left="0" w:firstLine="420"/>
        <w:jc w:val="left"/>
      </w:pPr>
      <w:r>
        <w:t>四、财政拨款收入支出决算总表</w:t>
      </w:r>
    </w:p>
    <w:p>
      <w:pPr>
        <w:pStyle w:val="2"/>
        <w:keepNext w:val="0"/>
        <w:keepLines w:val="0"/>
        <w:widowControl/>
        <w:suppressLineNumbers w:val="0"/>
        <w:ind w:left="0" w:firstLine="420"/>
        <w:jc w:val="left"/>
      </w:pPr>
      <w:r>
        <w:t>五、一般公共预算财政拨款收入支出决算表</w:t>
      </w:r>
    </w:p>
    <w:p>
      <w:pPr>
        <w:pStyle w:val="2"/>
        <w:keepNext w:val="0"/>
        <w:keepLines w:val="0"/>
        <w:widowControl/>
        <w:suppressLineNumbers w:val="0"/>
        <w:ind w:left="0" w:firstLine="420"/>
        <w:jc w:val="left"/>
      </w:pPr>
      <w:r>
        <w:t>六、一般公共预算财政拨款基本支出决算表</w:t>
      </w:r>
    </w:p>
    <w:p>
      <w:pPr>
        <w:pStyle w:val="2"/>
        <w:keepNext w:val="0"/>
        <w:keepLines w:val="0"/>
        <w:widowControl/>
        <w:suppressLineNumbers w:val="0"/>
        <w:ind w:left="0" w:firstLine="420"/>
        <w:jc w:val="left"/>
      </w:pPr>
      <w:r>
        <w:t>七、政府性基金预算财政拨款收入支出决算表</w:t>
      </w:r>
    </w:p>
    <w:p>
      <w:pPr>
        <w:pStyle w:val="2"/>
        <w:keepNext w:val="0"/>
        <w:keepLines w:val="0"/>
        <w:widowControl/>
        <w:suppressLineNumbers w:val="0"/>
        <w:ind w:left="0" w:firstLine="420"/>
        <w:jc w:val="left"/>
      </w:pPr>
      <w:r>
        <w:t>八、国有资本经营预算财政拨款收入支出决算表</w:t>
      </w:r>
    </w:p>
    <w:p>
      <w:pPr>
        <w:pStyle w:val="2"/>
        <w:keepNext w:val="0"/>
        <w:keepLines w:val="0"/>
        <w:widowControl/>
        <w:suppressLineNumbers w:val="0"/>
        <w:ind w:left="0" w:firstLine="420"/>
        <w:jc w:val="left"/>
      </w:pPr>
      <w:r>
        <w:t>九、“三公”经费、行政参公单位机关运行经费情况表</w:t>
      </w:r>
    </w:p>
    <w:p>
      <w:pPr>
        <w:pStyle w:val="2"/>
        <w:keepNext w:val="0"/>
        <w:keepLines w:val="0"/>
        <w:widowControl/>
        <w:suppressLineNumbers w:val="0"/>
        <w:ind w:left="0" w:firstLine="420"/>
        <w:jc w:val="left"/>
      </w:pPr>
      <w:r>
        <w:t>第三部分  2021年度部门决算情况说明</w:t>
      </w:r>
    </w:p>
    <w:p>
      <w:pPr>
        <w:pStyle w:val="2"/>
        <w:keepNext w:val="0"/>
        <w:keepLines w:val="0"/>
        <w:widowControl/>
        <w:suppressLineNumbers w:val="0"/>
        <w:ind w:left="0" w:firstLine="420"/>
        <w:jc w:val="left"/>
      </w:pPr>
      <w:r>
        <w:t>一、收入决算情况说明</w:t>
      </w:r>
    </w:p>
    <w:p>
      <w:pPr>
        <w:pStyle w:val="2"/>
        <w:keepNext w:val="0"/>
        <w:keepLines w:val="0"/>
        <w:widowControl/>
        <w:suppressLineNumbers w:val="0"/>
        <w:ind w:left="0" w:firstLine="420"/>
        <w:jc w:val="left"/>
      </w:pPr>
      <w:r>
        <w:t>二、支出决算情况说明</w:t>
      </w:r>
    </w:p>
    <w:p>
      <w:pPr>
        <w:pStyle w:val="2"/>
        <w:keepNext w:val="0"/>
        <w:keepLines w:val="0"/>
        <w:widowControl/>
        <w:suppressLineNumbers w:val="0"/>
        <w:ind w:left="0" w:firstLine="420"/>
        <w:jc w:val="left"/>
      </w:pPr>
      <w:r>
        <w:t>三、一般公共预算财政拨款支出决算情况说明</w:t>
      </w:r>
    </w:p>
    <w:p>
      <w:pPr>
        <w:pStyle w:val="2"/>
        <w:keepNext w:val="0"/>
        <w:keepLines w:val="0"/>
        <w:widowControl/>
        <w:suppressLineNumbers w:val="0"/>
        <w:ind w:left="0" w:firstLine="420"/>
        <w:jc w:val="left"/>
      </w:pPr>
      <w:r>
        <w:t>四、一般公共预算财政拨款“三公”经费支出决算情况说明</w:t>
      </w:r>
    </w:p>
    <w:p>
      <w:pPr>
        <w:pStyle w:val="2"/>
        <w:keepNext w:val="0"/>
        <w:keepLines w:val="0"/>
        <w:widowControl/>
        <w:suppressLineNumbers w:val="0"/>
        <w:ind w:left="0" w:firstLine="420"/>
        <w:jc w:val="left"/>
      </w:pPr>
      <w:r>
        <w:t>第四部分  其他重要事项及相关口径情况说明</w:t>
      </w:r>
    </w:p>
    <w:p>
      <w:pPr>
        <w:pStyle w:val="2"/>
        <w:keepNext w:val="0"/>
        <w:keepLines w:val="0"/>
        <w:widowControl/>
        <w:suppressLineNumbers w:val="0"/>
        <w:ind w:left="0" w:firstLine="420"/>
        <w:jc w:val="left"/>
      </w:pPr>
      <w:r>
        <w:t>一、机关运行经费支出情况</w:t>
      </w:r>
    </w:p>
    <w:p>
      <w:pPr>
        <w:pStyle w:val="2"/>
        <w:keepNext w:val="0"/>
        <w:keepLines w:val="0"/>
        <w:widowControl/>
        <w:suppressLineNumbers w:val="0"/>
        <w:ind w:left="0" w:firstLine="420"/>
        <w:jc w:val="left"/>
      </w:pPr>
      <w:r>
        <w:t>二、国有资产占用情况</w:t>
      </w:r>
    </w:p>
    <w:p>
      <w:pPr>
        <w:pStyle w:val="2"/>
        <w:keepNext w:val="0"/>
        <w:keepLines w:val="0"/>
        <w:widowControl/>
        <w:suppressLineNumbers w:val="0"/>
        <w:ind w:left="0" w:firstLine="420"/>
        <w:jc w:val="left"/>
      </w:pPr>
      <w:r>
        <w:t>三、政府采购支出情况</w:t>
      </w:r>
    </w:p>
    <w:p>
      <w:pPr>
        <w:pStyle w:val="2"/>
        <w:keepNext w:val="0"/>
        <w:keepLines w:val="0"/>
        <w:widowControl/>
        <w:suppressLineNumbers w:val="0"/>
        <w:ind w:left="0" w:firstLine="420"/>
        <w:jc w:val="left"/>
      </w:pPr>
      <w:r>
        <w:t>四、部门绩效自评情况</w:t>
      </w:r>
    </w:p>
    <w:p>
      <w:pPr>
        <w:pStyle w:val="2"/>
        <w:keepNext w:val="0"/>
        <w:keepLines w:val="0"/>
        <w:widowControl/>
        <w:suppressLineNumbers w:val="0"/>
        <w:ind w:left="0" w:firstLine="420"/>
        <w:jc w:val="left"/>
      </w:pPr>
      <w:r>
        <w:t>（一）部门整体支出绩效自评情况</w:t>
      </w:r>
    </w:p>
    <w:p>
      <w:pPr>
        <w:pStyle w:val="2"/>
        <w:keepNext w:val="0"/>
        <w:keepLines w:val="0"/>
        <w:widowControl/>
        <w:suppressLineNumbers w:val="0"/>
        <w:ind w:left="0" w:firstLine="420"/>
        <w:jc w:val="left"/>
      </w:pPr>
      <w:r>
        <w:t>（二）部门整体支出绩效自评表</w:t>
      </w:r>
    </w:p>
    <w:p>
      <w:pPr>
        <w:pStyle w:val="2"/>
        <w:keepNext w:val="0"/>
        <w:keepLines w:val="0"/>
        <w:widowControl/>
        <w:suppressLineNumbers w:val="0"/>
        <w:ind w:left="0" w:firstLine="420"/>
        <w:jc w:val="left"/>
      </w:pPr>
      <w:r>
        <w:t>（三）项目支出绩效自评表</w:t>
      </w:r>
    </w:p>
    <w:p>
      <w:pPr>
        <w:pStyle w:val="2"/>
        <w:keepNext w:val="0"/>
        <w:keepLines w:val="0"/>
        <w:widowControl/>
        <w:suppressLineNumbers w:val="0"/>
        <w:ind w:left="0" w:firstLine="420"/>
        <w:jc w:val="left"/>
      </w:pPr>
      <w:r>
        <w:t>五、其他重要事项情况说明</w:t>
      </w:r>
    </w:p>
    <w:p>
      <w:pPr>
        <w:pStyle w:val="2"/>
        <w:keepNext w:val="0"/>
        <w:keepLines w:val="0"/>
        <w:widowControl/>
        <w:suppressLineNumbers w:val="0"/>
        <w:ind w:left="0" w:firstLine="420"/>
        <w:jc w:val="left"/>
      </w:pPr>
      <w:r>
        <w:t>第五部分  名词解释</w:t>
      </w:r>
    </w:p>
    <w:p>
      <w:pPr>
        <w:pStyle w:val="2"/>
        <w:keepNext w:val="0"/>
        <w:keepLines w:val="0"/>
        <w:widowControl/>
        <w:suppressLineNumbers w:val="0"/>
      </w:pPr>
      <w:r>
        <w:t> </w:t>
      </w:r>
    </w:p>
    <w:p>
      <w:pPr>
        <w:pStyle w:val="2"/>
        <w:keepNext w:val="0"/>
        <w:keepLines w:val="0"/>
        <w:widowControl/>
        <w:suppressLineNumbers w:val="0"/>
        <w:ind w:left="0" w:firstLine="420"/>
        <w:jc w:val="left"/>
      </w:pPr>
      <w:r>
        <w:t>第一部分  迪庆州香格里拉市教师进修学校概况</w:t>
      </w:r>
    </w:p>
    <w:p>
      <w:pPr>
        <w:pStyle w:val="2"/>
        <w:keepNext w:val="0"/>
        <w:keepLines w:val="0"/>
        <w:widowControl/>
        <w:suppressLineNumbers w:val="0"/>
        <w:ind w:left="0" w:firstLine="420"/>
        <w:jc w:val="left"/>
      </w:pPr>
      <w:r>
        <w:t>一、主要职能</w:t>
      </w:r>
    </w:p>
    <w:p>
      <w:pPr>
        <w:pStyle w:val="2"/>
        <w:keepNext w:val="0"/>
        <w:keepLines w:val="0"/>
        <w:widowControl/>
        <w:suppressLineNumbers w:val="0"/>
        <w:ind w:left="0" w:firstLine="420"/>
        <w:jc w:val="left"/>
      </w:pPr>
      <w:r>
        <w:t>（一）主要职能</w:t>
      </w:r>
    </w:p>
    <w:p>
      <w:pPr>
        <w:pStyle w:val="2"/>
        <w:keepNext w:val="0"/>
        <w:keepLines w:val="0"/>
        <w:widowControl/>
        <w:suppressLineNumbers w:val="0"/>
        <w:ind w:left="0" w:firstLine="420"/>
        <w:jc w:val="left"/>
      </w:pPr>
      <w:r>
        <w:t>1、贯彻执行党的教育方针、政策，实施对义务教育阶段、包括中小学教师、幼儿园教师、校长等的继续教育，做好教育科研工作；2、积极研究和寻找适应时代发展的办学方式，不断提高研究水平、培训管理等综合实力，加强学生发展、教师的成长；3、办公室负责学校内部人事管理、档案管理、量化考核、处理日常行政事务，起草各类文件，编制总结等；整理和归档各类文件资料，完成校长交代的其他事项；4、加强教师队伍建设，整合师资力量，充分发挥服务功能，提升服务项目建设，加强与各地州教科研究人员、机构的沟通和合作，强化中小学教师继续教育培训的多元化、信息化的办学形式；5、加强思想政治建设，提升业务学习，认真钻研课程标准和教材，不断收集教学改革方面的信息，对负责的学科教学进行监督；6、承办市委市政府交办的其他事项。</w:t>
      </w:r>
    </w:p>
    <w:p>
      <w:pPr>
        <w:pStyle w:val="2"/>
        <w:keepNext w:val="0"/>
        <w:keepLines w:val="0"/>
        <w:widowControl/>
        <w:suppressLineNumbers w:val="0"/>
      </w:pPr>
      <w:r>
        <w:t> </w:t>
      </w:r>
    </w:p>
    <w:p>
      <w:pPr>
        <w:pStyle w:val="2"/>
        <w:keepNext w:val="0"/>
        <w:keepLines w:val="0"/>
        <w:widowControl/>
        <w:suppressLineNumbers w:val="0"/>
        <w:ind w:left="0" w:firstLine="420"/>
        <w:jc w:val="left"/>
      </w:pPr>
      <w:r>
        <w:t>（二）2021年度重点工作任务介绍</w:t>
      </w:r>
    </w:p>
    <w:p>
      <w:pPr>
        <w:pStyle w:val="2"/>
        <w:keepNext w:val="0"/>
        <w:keepLines w:val="0"/>
        <w:widowControl/>
        <w:suppressLineNumbers w:val="0"/>
        <w:ind w:left="0" w:firstLine="420"/>
        <w:jc w:val="left"/>
      </w:pPr>
      <w:r>
        <w:t>2021年度重点工作任务：1、组织开展我市小学教师进行技能大赛；2、按照“国培计划”实施方案，认真组织、落实好相关培训任务；3、组织实施好迪庆州“三区三州”教师置换研修工作，协调好跟岗教师和支教教师的食宿和工作细节，落实好各项学习要求，收集材料进行考评并下拨专项支教补助经费；4、选派8名教师到杨浦区进行三个月的脱岗学习培训；5、组织全市英语教师培训；6、协助局机关做好疫情防控宣传、老年健步走等工作。7、完成精准扶贫教育工作。8、按时按质开展日常工作，资产清查，月报、年报、预决算、发放在职人员（含提前退休）工资福利等。</w:t>
      </w:r>
    </w:p>
    <w:p>
      <w:pPr>
        <w:pStyle w:val="2"/>
        <w:keepNext w:val="0"/>
        <w:keepLines w:val="0"/>
        <w:widowControl/>
        <w:suppressLineNumbers w:val="0"/>
      </w:pPr>
      <w:r>
        <w:t> </w:t>
      </w:r>
    </w:p>
    <w:p>
      <w:pPr>
        <w:pStyle w:val="2"/>
        <w:keepNext w:val="0"/>
        <w:keepLines w:val="0"/>
        <w:widowControl/>
        <w:suppressLineNumbers w:val="0"/>
        <w:ind w:left="0" w:firstLine="420"/>
        <w:jc w:val="left"/>
      </w:pPr>
      <w:r>
        <w:t> 二、部门基本情况</w:t>
      </w:r>
    </w:p>
    <w:p>
      <w:pPr>
        <w:pStyle w:val="2"/>
        <w:keepNext w:val="0"/>
        <w:keepLines w:val="0"/>
        <w:widowControl/>
        <w:suppressLineNumbers w:val="0"/>
        <w:ind w:left="0" w:firstLine="420"/>
        <w:jc w:val="left"/>
      </w:pPr>
      <w:r>
        <w:t>（一）部门决算单位构成</w:t>
      </w:r>
    </w:p>
    <w:p>
      <w:pPr>
        <w:pStyle w:val="2"/>
        <w:keepNext w:val="0"/>
        <w:keepLines w:val="0"/>
        <w:widowControl/>
        <w:suppressLineNumbers w:val="0"/>
        <w:ind w:left="0" w:firstLine="420"/>
        <w:jc w:val="left"/>
      </w:pPr>
      <w:r>
        <w:t>纳入迪庆州香格里拉市教师进修学校2021年度部门决算编报的单位共1个。其中：行政单位0个，参照公务员法管理的事业单位0个，其他事业单位1个。分别是：</w:t>
      </w:r>
    </w:p>
    <w:p>
      <w:pPr>
        <w:pStyle w:val="2"/>
        <w:keepNext w:val="0"/>
        <w:keepLines w:val="0"/>
        <w:widowControl/>
        <w:suppressLineNumbers w:val="0"/>
        <w:ind w:left="0" w:firstLine="420"/>
        <w:jc w:val="left"/>
      </w:pPr>
      <w:r>
        <w:t>1.迪庆州香格里拉市教师进修学校</w:t>
      </w:r>
    </w:p>
    <w:p>
      <w:pPr>
        <w:pStyle w:val="2"/>
        <w:keepNext w:val="0"/>
        <w:keepLines w:val="0"/>
        <w:widowControl/>
        <w:suppressLineNumbers w:val="0"/>
        <w:ind w:left="0" w:firstLine="420"/>
        <w:jc w:val="left"/>
      </w:pPr>
      <w:r>
        <w:t>（二）部门人员和车辆的编制及实有情况</w:t>
      </w:r>
    </w:p>
    <w:p>
      <w:pPr>
        <w:pStyle w:val="2"/>
        <w:keepNext w:val="0"/>
        <w:keepLines w:val="0"/>
        <w:widowControl/>
        <w:suppressLineNumbers w:val="0"/>
        <w:ind w:left="0" w:firstLine="420"/>
        <w:jc w:val="left"/>
      </w:pPr>
      <w:r>
        <w:t>迪庆州香格里拉市教师进修学校2021年末实有人员编制14人。其中：行政编制0人（含行政工勤编制0人），事业编制14人（含参公管理事业编制0人）；在职在编实有行政人员0人（含行政工勤人员0人），事业人员14人（含参公管理事业人员0人）。</w:t>
      </w:r>
    </w:p>
    <w:p>
      <w:pPr>
        <w:pStyle w:val="2"/>
        <w:keepNext w:val="0"/>
        <w:keepLines w:val="0"/>
        <w:widowControl/>
        <w:suppressLineNumbers w:val="0"/>
        <w:ind w:left="0" w:firstLine="420"/>
        <w:jc w:val="left"/>
      </w:pPr>
      <w:r>
        <w:t>离退休人员8人。其中：离休0人，退休8人。</w:t>
      </w:r>
    </w:p>
    <w:p>
      <w:pPr>
        <w:pStyle w:val="2"/>
        <w:keepNext w:val="0"/>
        <w:keepLines w:val="0"/>
        <w:widowControl/>
        <w:suppressLineNumbers w:val="0"/>
        <w:ind w:left="0" w:firstLine="420"/>
        <w:jc w:val="left"/>
      </w:pPr>
      <w:r>
        <w:t>实有车辆编制0辆，在编实有车辆0辆。</w:t>
      </w:r>
    </w:p>
    <w:p>
      <w:pPr>
        <w:pStyle w:val="2"/>
        <w:keepNext w:val="0"/>
        <w:keepLines w:val="0"/>
        <w:widowControl/>
        <w:suppressLineNumbers w:val="0"/>
      </w:pPr>
      <w:r>
        <w:t> </w:t>
      </w:r>
    </w:p>
    <w:p>
      <w:pPr>
        <w:pStyle w:val="2"/>
        <w:keepNext w:val="0"/>
        <w:keepLines w:val="0"/>
        <w:widowControl/>
        <w:suppressLineNumbers w:val="0"/>
        <w:ind w:left="0" w:firstLine="420"/>
        <w:jc w:val="left"/>
      </w:pPr>
      <w:r>
        <w:t>第二部分  2021年度部门决算表</w:t>
      </w:r>
    </w:p>
    <w:p>
      <w:pPr>
        <w:pStyle w:val="2"/>
        <w:keepNext w:val="0"/>
        <w:keepLines w:val="0"/>
        <w:widowControl/>
        <w:suppressLineNumbers w:val="0"/>
        <w:ind w:left="0" w:firstLine="420"/>
        <w:jc w:val="left"/>
      </w:pPr>
      <w:r>
        <w:t>（详见附件）</w:t>
      </w:r>
    </w:p>
    <w:p>
      <w:pPr>
        <w:pStyle w:val="2"/>
        <w:keepNext w:val="0"/>
        <w:keepLines w:val="0"/>
        <w:widowControl/>
        <w:suppressLineNumbers w:val="0"/>
      </w:pPr>
      <w:r>
        <w:t> </w:t>
      </w:r>
    </w:p>
    <w:p>
      <w:pPr>
        <w:pStyle w:val="2"/>
        <w:keepNext w:val="0"/>
        <w:keepLines w:val="0"/>
        <w:widowControl/>
        <w:suppressLineNumbers w:val="0"/>
        <w:ind w:left="0" w:firstLine="420"/>
        <w:jc w:val="left"/>
      </w:pPr>
      <w:r>
        <w:t>第三部分  2021年度部门决算情况说明</w:t>
      </w:r>
    </w:p>
    <w:p>
      <w:pPr>
        <w:pStyle w:val="2"/>
        <w:keepNext w:val="0"/>
        <w:keepLines w:val="0"/>
        <w:widowControl/>
        <w:suppressLineNumbers w:val="0"/>
        <w:ind w:left="0" w:firstLine="420"/>
        <w:jc w:val="left"/>
      </w:pPr>
      <w:r>
        <w:t>一、收入决算情况说明</w:t>
      </w:r>
    </w:p>
    <w:p>
      <w:pPr>
        <w:pStyle w:val="2"/>
        <w:keepNext w:val="0"/>
        <w:keepLines w:val="0"/>
        <w:widowControl/>
        <w:suppressLineNumbers w:val="0"/>
        <w:ind w:left="0" w:firstLine="420"/>
        <w:jc w:val="left"/>
      </w:pPr>
      <w:r>
        <w:t>迪庆州香格里拉市教师进修学校2021年度收入合计546.18万元。其中：财政拨款收入546.18万元，占总收入的100.00%；上级补助收入0.00万元，占总收入的0.00%；事业收入0.00万元（含教育收费0.00万元），占总收入的0.00%；经营收入0.00万元，占总收入的0.00%；附属单位缴款收入0.00万元，占总收入的0.00%；其他收入0.00万元，占总收入的0.00%。与上年对比：本年度财政拨款收入546.18万元，比上年同期增长20.00万元，比上年同比增长3.80%，2021年度人员调入，职称调整较多，津贴补贴增加。</w:t>
      </w:r>
    </w:p>
    <w:p>
      <w:pPr>
        <w:pStyle w:val="2"/>
        <w:keepNext w:val="0"/>
        <w:keepLines w:val="0"/>
        <w:widowControl/>
        <w:suppressLineNumbers w:val="0"/>
      </w:pPr>
      <w:r>
        <w:t> </w:t>
      </w:r>
    </w:p>
    <w:p>
      <w:pPr>
        <w:pStyle w:val="2"/>
        <w:keepNext w:val="0"/>
        <w:keepLines w:val="0"/>
        <w:widowControl/>
        <w:suppressLineNumbers w:val="0"/>
        <w:ind w:left="0" w:firstLine="420"/>
        <w:jc w:val="left"/>
      </w:pPr>
      <w:r>
        <w:t>二、支出决算情况说明</w:t>
      </w:r>
    </w:p>
    <w:p>
      <w:pPr>
        <w:pStyle w:val="2"/>
        <w:keepNext w:val="0"/>
        <w:keepLines w:val="0"/>
        <w:widowControl/>
        <w:suppressLineNumbers w:val="0"/>
        <w:ind w:left="0" w:firstLine="420"/>
        <w:jc w:val="left"/>
      </w:pPr>
      <w:r>
        <w:t>迪庆州香格里拉市教师进修学校2021年度支出合计580.59万元。其中：基本支出580.59万元，占总支出的100.00%；项目支出0.00万元，占总支出的0.00%；上缴上级支出、经营支出、对附属单位补助支出共0.00万元，占总支出的0.00%。与上年对比：本年度基本支出580.59万元，比上年同期增长57.09万元，比上年同比增长10.9%，增长的主要原因是：2021年度规范支出使用情况，提升资金使用率盘活存量资金。</w:t>
      </w:r>
    </w:p>
    <w:p>
      <w:pPr>
        <w:pStyle w:val="2"/>
        <w:keepNext w:val="0"/>
        <w:keepLines w:val="0"/>
        <w:widowControl/>
        <w:suppressLineNumbers w:val="0"/>
        <w:ind w:left="0" w:firstLine="420"/>
        <w:jc w:val="left"/>
      </w:pPr>
      <w:r>
        <w:t>（一）基本支出情况</w:t>
      </w:r>
    </w:p>
    <w:p>
      <w:pPr>
        <w:pStyle w:val="2"/>
        <w:keepNext w:val="0"/>
        <w:keepLines w:val="0"/>
        <w:widowControl/>
        <w:suppressLineNumbers w:val="0"/>
        <w:ind w:left="0" w:firstLine="420"/>
        <w:jc w:val="left"/>
      </w:pPr>
      <w:r>
        <w:t>2021年度用于保障迪庆州香格里拉市教师进修学校机关、下属事业单位等机构正常运转的日常支出580.59万元</w:t>
      </w:r>
      <w:r>
        <w:rPr>
          <w:rFonts w:hint="eastAsia"/>
          <w:lang w:val="en-US" w:eastAsia="zh-CN"/>
        </w:rPr>
        <w:t>,上年支出515.1万元，</w:t>
      </w:r>
      <w:r>
        <w:t>包括基本工资、津贴补贴等人员经费支出575.61万元，占基本支出的99.14%</w:t>
      </w:r>
      <w:r>
        <w:rPr>
          <w:rFonts w:hint="eastAsia"/>
          <w:lang w:eastAsia="zh-CN"/>
        </w:rPr>
        <w:t>，</w:t>
      </w:r>
      <w:r>
        <w:rPr>
          <w:rFonts w:hint="eastAsia"/>
          <w:lang w:val="en-US" w:eastAsia="zh-CN"/>
        </w:rPr>
        <w:t>较上年支出增加65.49万元，增幅12.7%，原因为工资支出增加，</w:t>
      </w:r>
      <w:r>
        <w:t>办公费、印刷费、水电费、办公设备购置等公用经费4.98万元，占基本支出的0.86%，人均享受3557.14元。</w:t>
      </w:r>
    </w:p>
    <w:p>
      <w:pPr>
        <w:pStyle w:val="2"/>
        <w:keepNext w:val="0"/>
        <w:keepLines w:val="0"/>
        <w:widowControl/>
        <w:suppressLineNumbers w:val="0"/>
        <w:ind w:left="0" w:firstLine="420"/>
        <w:jc w:val="left"/>
      </w:pPr>
      <w:r>
        <w:t>（二）项目支出情况</w:t>
      </w:r>
    </w:p>
    <w:p>
      <w:pPr>
        <w:pStyle w:val="2"/>
        <w:keepNext w:val="0"/>
        <w:keepLines w:val="0"/>
        <w:widowControl/>
        <w:suppressLineNumbers w:val="0"/>
        <w:ind w:left="0" w:firstLine="420"/>
        <w:jc w:val="left"/>
        <w:rPr>
          <w:rFonts w:hint="default" w:eastAsiaTheme="minorEastAsia"/>
          <w:lang w:val="en-US" w:eastAsia="zh-CN"/>
        </w:rPr>
      </w:pPr>
      <w:r>
        <w:t>2021年度用于保障迪庆州香格里拉市教师进修学校机构、下属事业单位等机构为完成特定的行政工作任务或事业发展目标，用于专项业务工作的经费支出0.00万元。</w:t>
      </w:r>
      <w:r>
        <w:rPr>
          <w:rFonts w:hint="eastAsia"/>
          <w:lang w:val="en-US" w:eastAsia="zh-CN"/>
        </w:rPr>
        <w:t>2020年项目支出0.00万元，无增减变动。</w:t>
      </w:r>
    </w:p>
    <w:p>
      <w:pPr>
        <w:pStyle w:val="2"/>
        <w:keepNext w:val="0"/>
        <w:keepLines w:val="0"/>
        <w:widowControl/>
        <w:suppressLineNumbers w:val="0"/>
      </w:pPr>
      <w:r>
        <w:t> </w:t>
      </w:r>
    </w:p>
    <w:p>
      <w:pPr>
        <w:pStyle w:val="2"/>
        <w:keepNext w:val="0"/>
        <w:keepLines w:val="0"/>
        <w:widowControl/>
        <w:suppressLineNumbers w:val="0"/>
        <w:ind w:left="0" w:firstLine="420"/>
        <w:jc w:val="left"/>
      </w:pPr>
      <w:r>
        <w:t>三、一般公共预算财政拨款支出决算情况说明</w:t>
      </w:r>
    </w:p>
    <w:p>
      <w:pPr>
        <w:pStyle w:val="2"/>
        <w:keepNext w:val="0"/>
        <w:keepLines w:val="0"/>
        <w:widowControl/>
        <w:suppressLineNumbers w:val="0"/>
        <w:ind w:left="0" w:firstLine="420"/>
        <w:jc w:val="left"/>
      </w:pPr>
      <w:r>
        <w:t>（一）一般公共预算财政拨款支出决算总体情况</w:t>
      </w:r>
    </w:p>
    <w:p>
      <w:pPr>
        <w:pStyle w:val="2"/>
        <w:keepNext w:val="0"/>
        <w:keepLines w:val="0"/>
        <w:widowControl/>
        <w:suppressLineNumbers w:val="0"/>
        <w:ind w:left="0" w:firstLine="420"/>
        <w:jc w:val="left"/>
      </w:pPr>
      <w:r>
        <w:t>迪庆州香格里拉市教师进修学校2021年度一般公共预算财政拨款支出580.59万元，占本年支出合计的100.00%。比上年同期增长57.09万元，比上年同比增长10.9%，主要原因是2021年规范支出使用情况提高资金使用率。</w:t>
      </w:r>
    </w:p>
    <w:p>
      <w:pPr>
        <w:pStyle w:val="2"/>
        <w:keepNext w:val="0"/>
        <w:keepLines w:val="0"/>
        <w:widowControl/>
        <w:suppressLineNumbers w:val="0"/>
        <w:ind w:left="0" w:firstLine="420"/>
        <w:jc w:val="left"/>
      </w:pPr>
      <w:r>
        <w:t>（二）一般公共预算财政拨款支出决算具体情况</w:t>
      </w:r>
    </w:p>
    <w:p>
      <w:pPr>
        <w:pStyle w:val="2"/>
        <w:keepNext w:val="0"/>
        <w:keepLines w:val="0"/>
        <w:widowControl/>
        <w:suppressLineNumbers w:val="0"/>
        <w:ind w:left="0" w:firstLine="420"/>
        <w:jc w:val="left"/>
      </w:pPr>
      <w:r>
        <w:t>  1.一般公共服务（类）支出0.00万元，占一般公共预算财政拨款总支出的0.00%。</w:t>
      </w:r>
    </w:p>
    <w:p>
      <w:pPr>
        <w:pStyle w:val="2"/>
        <w:keepNext w:val="0"/>
        <w:keepLines w:val="0"/>
        <w:widowControl/>
        <w:suppressLineNumbers w:val="0"/>
        <w:ind w:left="0" w:firstLine="420"/>
        <w:jc w:val="left"/>
      </w:pPr>
      <w:r>
        <w:t>  2.外交（类）支出0.00万元，占一般公共预算财政拨款总支出的0.00%。</w:t>
      </w:r>
    </w:p>
    <w:p>
      <w:pPr>
        <w:pStyle w:val="2"/>
        <w:keepNext w:val="0"/>
        <w:keepLines w:val="0"/>
        <w:widowControl/>
        <w:suppressLineNumbers w:val="0"/>
        <w:ind w:left="0" w:firstLine="420"/>
        <w:jc w:val="left"/>
      </w:pPr>
      <w:r>
        <w:t>  3.国防（类）支出0.00万元，占一般公共预算财政拨款总支出的0.00%。</w:t>
      </w:r>
    </w:p>
    <w:p>
      <w:pPr>
        <w:pStyle w:val="2"/>
        <w:keepNext w:val="0"/>
        <w:keepLines w:val="0"/>
        <w:widowControl/>
        <w:suppressLineNumbers w:val="0"/>
        <w:ind w:left="0" w:firstLine="420"/>
        <w:jc w:val="left"/>
      </w:pPr>
      <w:r>
        <w:t>  4.公共安全（类）支出0.00万元，占一般公共预算财政拨款总支出的0.00%。</w:t>
      </w:r>
    </w:p>
    <w:p>
      <w:pPr>
        <w:pStyle w:val="2"/>
        <w:keepNext w:val="0"/>
        <w:keepLines w:val="0"/>
        <w:widowControl/>
        <w:suppressLineNumbers w:val="0"/>
        <w:ind w:left="0" w:firstLine="420"/>
        <w:jc w:val="left"/>
      </w:pPr>
      <w:r>
        <w:t>  5.教育（类）支出434.06万元，占一般公共预算财政拨款总支出的74.76%。主要用于支出教师进修研修培训费、人员类工资经补贴、办公费、工会费等方面；</w:t>
      </w:r>
    </w:p>
    <w:p>
      <w:pPr>
        <w:pStyle w:val="2"/>
        <w:keepNext w:val="0"/>
        <w:keepLines w:val="0"/>
        <w:widowControl/>
        <w:suppressLineNumbers w:val="0"/>
        <w:ind w:left="0" w:firstLine="420"/>
        <w:jc w:val="left"/>
      </w:pPr>
      <w:r>
        <w:t>  6.科学技术（类）支出0.00万元，占一般公共预算财政拨款总支出的0.00%。</w:t>
      </w:r>
    </w:p>
    <w:p>
      <w:pPr>
        <w:pStyle w:val="2"/>
        <w:keepNext w:val="0"/>
        <w:keepLines w:val="0"/>
        <w:widowControl/>
        <w:suppressLineNumbers w:val="0"/>
        <w:ind w:left="0" w:firstLine="420"/>
        <w:jc w:val="left"/>
      </w:pPr>
      <w:r>
        <w:t>  7.文化旅游体育与传媒（类）支出0.00万元，占一般公共预算财政拨款总支出的0.00%。</w:t>
      </w:r>
    </w:p>
    <w:p>
      <w:pPr>
        <w:pStyle w:val="2"/>
        <w:keepNext w:val="0"/>
        <w:keepLines w:val="0"/>
        <w:widowControl/>
        <w:suppressLineNumbers w:val="0"/>
        <w:ind w:left="0" w:firstLine="420"/>
        <w:jc w:val="left"/>
      </w:pPr>
      <w:r>
        <w:t> 8.社会保障和就业（类）支出67.58万元，占一般公共预算财政拨款总支出的11.64%。主要用于职工事业单位基本养老保险缴费支出及单位职业年金缴费支出方面；</w:t>
      </w:r>
    </w:p>
    <w:p>
      <w:pPr>
        <w:pStyle w:val="2"/>
        <w:keepNext w:val="0"/>
        <w:keepLines w:val="0"/>
        <w:widowControl/>
        <w:suppressLineNumbers w:val="0"/>
        <w:ind w:left="0" w:firstLine="420"/>
        <w:jc w:val="left"/>
      </w:pPr>
      <w:r>
        <w:t>  9.卫生健康（类）支出36.83万元，占一般公共预算财政拨款总支出的6.34%。主要用于缴纳单位行政事业人员单位基本医疗、大病医疗、失业保险、生育险及公务员医疗补助等方面支出；</w:t>
      </w:r>
    </w:p>
    <w:p>
      <w:pPr>
        <w:pStyle w:val="2"/>
        <w:keepNext w:val="0"/>
        <w:keepLines w:val="0"/>
        <w:widowControl/>
        <w:suppressLineNumbers w:val="0"/>
        <w:ind w:left="0" w:firstLine="420"/>
        <w:jc w:val="left"/>
      </w:pPr>
      <w:r>
        <w:t>10.节能环保（类）支出0.00万元，占一般公共预算财政拨款总支出的0.00%。</w:t>
      </w:r>
    </w:p>
    <w:p>
      <w:pPr>
        <w:pStyle w:val="2"/>
        <w:keepNext w:val="0"/>
        <w:keepLines w:val="0"/>
        <w:widowControl/>
        <w:suppressLineNumbers w:val="0"/>
        <w:ind w:left="0" w:firstLine="420"/>
        <w:jc w:val="left"/>
      </w:pPr>
      <w:r>
        <w:t>  11.城乡社区（类）支出0.00万元，占一般公共预算财政拨款总支出的0.00%。</w:t>
      </w:r>
    </w:p>
    <w:p>
      <w:pPr>
        <w:pStyle w:val="2"/>
        <w:keepNext w:val="0"/>
        <w:keepLines w:val="0"/>
        <w:widowControl/>
        <w:suppressLineNumbers w:val="0"/>
        <w:ind w:left="0" w:firstLine="420"/>
        <w:jc w:val="left"/>
      </w:pPr>
      <w:r>
        <w:t>  12.农林水（类）支出0.00万元，占一般公共预算财政拨款总支出的0.00%。</w:t>
      </w:r>
    </w:p>
    <w:p>
      <w:pPr>
        <w:pStyle w:val="2"/>
        <w:keepNext w:val="0"/>
        <w:keepLines w:val="0"/>
        <w:widowControl/>
        <w:suppressLineNumbers w:val="0"/>
        <w:ind w:left="0" w:firstLine="420"/>
        <w:jc w:val="left"/>
      </w:pPr>
      <w:r>
        <w:t>  13.交通运输（类）支出0.00万元，占一般公共预算财政拨款总支出的0.00%。</w:t>
      </w:r>
    </w:p>
    <w:p>
      <w:pPr>
        <w:pStyle w:val="2"/>
        <w:keepNext w:val="0"/>
        <w:keepLines w:val="0"/>
        <w:widowControl/>
        <w:suppressLineNumbers w:val="0"/>
        <w:ind w:left="0" w:firstLine="420"/>
        <w:jc w:val="left"/>
      </w:pPr>
      <w:r>
        <w:t>  14.资源勘探工业信息等（类）支出类0.00万元，占一般公共预算财政拨款总支出的0.00%。</w:t>
      </w:r>
    </w:p>
    <w:p>
      <w:pPr>
        <w:pStyle w:val="2"/>
        <w:keepNext w:val="0"/>
        <w:keepLines w:val="0"/>
        <w:widowControl/>
        <w:suppressLineNumbers w:val="0"/>
        <w:ind w:left="0" w:firstLine="420"/>
        <w:jc w:val="left"/>
      </w:pPr>
      <w:r>
        <w:t>  15.商业服务业等（类）支出0.00万元，占一般公共预算财政拨款总支出的0.00%。</w:t>
      </w:r>
    </w:p>
    <w:p>
      <w:pPr>
        <w:pStyle w:val="2"/>
        <w:keepNext w:val="0"/>
        <w:keepLines w:val="0"/>
        <w:widowControl/>
        <w:suppressLineNumbers w:val="0"/>
        <w:ind w:left="0" w:firstLine="420"/>
        <w:jc w:val="left"/>
      </w:pPr>
      <w:r>
        <w:t>  16.金融（类）支出0.00万元，占一般公共预算财政拨款总支出的0.00%。</w:t>
      </w:r>
    </w:p>
    <w:p>
      <w:pPr>
        <w:pStyle w:val="2"/>
        <w:keepNext w:val="0"/>
        <w:keepLines w:val="0"/>
        <w:widowControl/>
        <w:suppressLineNumbers w:val="0"/>
        <w:ind w:left="0" w:firstLine="420"/>
        <w:jc w:val="left"/>
      </w:pPr>
      <w:r>
        <w:t>  17.援助其他地区（类）支出0.00万元，占一般公共预算财政拨款总支出的0.00%。</w:t>
      </w:r>
    </w:p>
    <w:p>
      <w:pPr>
        <w:pStyle w:val="2"/>
        <w:keepNext w:val="0"/>
        <w:keepLines w:val="0"/>
        <w:widowControl/>
        <w:suppressLineNumbers w:val="0"/>
        <w:ind w:left="0" w:firstLine="420"/>
        <w:jc w:val="left"/>
      </w:pPr>
      <w:r>
        <w:t>  18.自然资源海洋气象等（类）支出0.00万元，占一般公共预算财政拨款总支出的0.00%。</w:t>
      </w:r>
    </w:p>
    <w:p>
      <w:pPr>
        <w:pStyle w:val="2"/>
        <w:keepNext w:val="0"/>
        <w:keepLines w:val="0"/>
        <w:widowControl/>
        <w:suppressLineNumbers w:val="0"/>
        <w:ind w:left="0" w:firstLine="420"/>
        <w:jc w:val="left"/>
      </w:pPr>
      <w:r>
        <w:t>  19.住房保障（类）支出42.13万元，占一般公共预算财政拨款总支出的7.26%。主要用于支出缴纳单位职工住房公积金及退休职工购房补贴；</w:t>
      </w:r>
    </w:p>
    <w:p>
      <w:pPr>
        <w:pStyle w:val="2"/>
        <w:keepNext w:val="0"/>
        <w:keepLines w:val="0"/>
        <w:widowControl/>
        <w:suppressLineNumbers w:val="0"/>
        <w:ind w:left="0" w:firstLine="420"/>
        <w:jc w:val="left"/>
      </w:pPr>
      <w:r>
        <w:t>  20.粮油物资储备（类）支出0.00万元，占一般公共预算财政拨款总支出的0.00%。</w:t>
      </w:r>
    </w:p>
    <w:p>
      <w:pPr>
        <w:pStyle w:val="2"/>
        <w:keepNext w:val="0"/>
        <w:keepLines w:val="0"/>
        <w:widowControl/>
        <w:suppressLineNumbers w:val="0"/>
        <w:ind w:left="0" w:firstLine="420"/>
        <w:jc w:val="left"/>
      </w:pPr>
      <w:r>
        <w:t>  21.国有资本经营预算（类）支出0.00万元，占一般公共预算财政拨款总支出的0.00%。</w:t>
      </w:r>
    </w:p>
    <w:p>
      <w:pPr>
        <w:pStyle w:val="2"/>
        <w:keepNext w:val="0"/>
        <w:keepLines w:val="0"/>
        <w:widowControl/>
        <w:suppressLineNumbers w:val="0"/>
        <w:ind w:left="0" w:firstLine="420"/>
        <w:jc w:val="left"/>
      </w:pPr>
      <w:r>
        <w:t> 22.灾害防治及应急管理（类）支出0.00万元，占一般公共预算财政拨款总支出的0.00%。</w:t>
      </w:r>
    </w:p>
    <w:p>
      <w:pPr>
        <w:pStyle w:val="2"/>
        <w:keepNext w:val="0"/>
        <w:keepLines w:val="0"/>
        <w:widowControl/>
        <w:suppressLineNumbers w:val="0"/>
        <w:ind w:left="0" w:firstLine="420"/>
        <w:jc w:val="left"/>
      </w:pPr>
      <w:r>
        <w:t>  23.其他（类）支出0.00万元，占一般公共预算财政拨款总支出的0.00%。</w:t>
      </w:r>
    </w:p>
    <w:p>
      <w:pPr>
        <w:pStyle w:val="2"/>
        <w:keepNext w:val="0"/>
        <w:keepLines w:val="0"/>
        <w:widowControl/>
        <w:suppressLineNumbers w:val="0"/>
        <w:ind w:left="0" w:firstLine="420"/>
        <w:jc w:val="left"/>
      </w:pPr>
      <w:r>
        <w:t>  24.债务还本（类）支出0.00万元，占一般公共预算财政拨款总支出的0.00%。</w:t>
      </w:r>
    </w:p>
    <w:p>
      <w:pPr>
        <w:pStyle w:val="2"/>
        <w:keepNext w:val="0"/>
        <w:keepLines w:val="0"/>
        <w:widowControl/>
        <w:suppressLineNumbers w:val="0"/>
        <w:ind w:left="0" w:firstLine="420"/>
        <w:jc w:val="left"/>
      </w:pPr>
      <w:r>
        <w:t>  25.债务付息（类）支出0.00万元，占一般公共预算财政拨款总支出的0.00%。</w:t>
      </w:r>
    </w:p>
    <w:p>
      <w:pPr>
        <w:pStyle w:val="2"/>
        <w:keepNext w:val="0"/>
        <w:keepLines w:val="0"/>
        <w:widowControl/>
        <w:suppressLineNumbers w:val="0"/>
        <w:ind w:left="0" w:firstLine="420"/>
        <w:jc w:val="left"/>
      </w:pPr>
      <w:r>
        <w:t>  26.抗疫特别国债安排（类）支出0.00万元，占一般公共预算财政拨款总支出的0.00%。</w:t>
      </w:r>
    </w:p>
    <w:p>
      <w:pPr>
        <w:pStyle w:val="2"/>
        <w:keepNext w:val="0"/>
        <w:keepLines w:val="0"/>
        <w:widowControl/>
        <w:suppressLineNumbers w:val="0"/>
      </w:pPr>
      <w:r>
        <w:t> </w:t>
      </w:r>
    </w:p>
    <w:p>
      <w:pPr>
        <w:pStyle w:val="2"/>
        <w:keepNext w:val="0"/>
        <w:keepLines w:val="0"/>
        <w:widowControl/>
        <w:suppressLineNumbers w:val="0"/>
        <w:ind w:left="0" w:firstLine="420"/>
        <w:jc w:val="left"/>
      </w:pPr>
      <w:r>
        <w:t>四、一般公共预算财政拨款“三公”经费支出决算情况说明</w:t>
      </w:r>
    </w:p>
    <w:p>
      <w:pPr>
        <w:pStyle w:val="2"/>
        <w:keepNext w:val="0"/>
        <w:keepLines w:val="0"/>
        <w:widowControl/>
        <w:suppressLineNumbers w:val="0"/>
        <w:ind w:left="0" w:firstLine="420"/>
        <w:jc w:val="left"/>
      </w:pPr>
      <w:r>
        <w:t>(一) 一般公共预算财政拨款“三公”经费支出决算总体情况</w:t>
      </w:r>
    </w:p>
    <w:p>
      <w:pPr>
        <w:pStyle w:val="2"/>
        <w:keepNext w:val="0"/>
        <w:keepLines w:val="0"/>
        <w:widowControl/>
        <w:suppressLineNumbers w:val="0"/>
        <w:ind w:left="0" w:firstLine="420"/>
        <w:jc w:val="left"/>
      </w:pPr>
      <w:r>
        <w:t>迪庆州香格里拉市教师进修学校2021年度一般公共预算财政拨款“三公”经费支出预算为0.00万元，支出决算为0.00万元，完成预算的0.00%。其中：因公出国（境）费支出决算为0.00万元，完成预算的0.00%；公务用车购置及运行费支出决算为0.00万元，完成预算的0.00%；公务接待费支出决算为0.00万元，完成预算的0.00%。</w:t>
      </w:r>
    </w:p>
    <w:p>
      <w:pPr>
        <w:pStyle w:val="2"/>
        <w:keepNext w:val="0"/>
        <w:keepLines w:val="0"/>
        <w:widowControl/>
        <w:suppressLineNumbers w:val="0"/>
        <w:ind w:left="0" w:firstLine="420"/>
        <w:jc w:val="left"/>
      </w:pPr>
      <w:r>
        <w:t>2021年度一般公共预算财政拨款“三公”经费支出决算数比2020年增加0.00万元，增长0.00%。其中：因公出国（境）费支出决算增加0.00万元，增长0.00%；公务用车购置及运行费支出决算增加0.00万元，增长0.00%；公务接待费支出决算增加0.00万元，增长0.00%。</w:t>
      </w:r>
    </w:p>
    <w:p>
      <w:pPr>
        <w:pStyle w:val="2"/>
        <w:keepNext w:val="0"/>
        <w:keepLines w:val="0"/>
        <w:widowControl/>
        <w:suppressLineNumbers w:val="0"/>
        <w:ind w:left="0" w:firstLine="420"/>
        <w:jc w:val="left"/>
      </w:pPr>
      <w:r>
        <w:t>(二) 一般公共预算财政拨款“三公”经费支出决算具体情况</w:t>
      </w:r>
    </w:p>
    <w:p>
      <w:pPr>
        <w:pStyle w:val="2"/>
        <w:keepNext w:val="0"/>
        <w:keepLines w:val="0"/>
        <w:widowControl/>
        <w:suppressLineNumbers w:val="0"/>
        <w:ind w:left="0" w:firstLine="420"/>
        <w:jc w:val="left"/>
      </w:pPr>
      <w:r>
        <w:t>2021年度一般公共预算财政拨款“三公”经费支出决算中，因公出国（境）费支出0.00万元，占0.00%；公务用车购置及运行维护费支出0.00万元，占0.00%；公务接待费支出0.00万元，占0.00%。具体情况如下：</w:t>
      </w:r>
    </w:p>
    <w:p>
      <w:pPr>
        <w:pStyle w:val="2"/>
        <w:keepNext w:val="0"/>
        <w:keepLines w:val="0"/>
        <w:widowControl/>
        <w:suppressLineNumbers w:val="0"/>
        <w:ind w:left="0" w:firstLine="420"/>
        <w:jc w:val="left"/>
      </w:pPr>
      <w:r>
        <w:t>1.因公出国（境）费支出0.00万元，共安排因公出国（境）团组0个，累计0人次。</w:t>
      </w:r>
    </w:p>
    <w:p>
      <w:pPr>
        <w:pStyle w:val="2"/>
        <w:keepNext w:val="0"/>
        <w:keepLines w:val="0"/>
        <w:widowControl/>
        <w:suppressLineNumbers w:val="0"/>
        <w:ind w:left="0" w:firstLine="420"/>
        <w:jc w:val="left"/>
      </w:pPr>
      <w:r>
        <w:t>2. 公务用车购置及运行维护费支出0.00万元。其中：</w:t>
      </w:r>
    </w:p>
    <w:p>
      <w:pPr>
        <w:pStyle w:val="2"/>
        <w:keepNext w:val="0"/>
        <w:keepLines w:val="0"/>
        <w:widowControl/>
        <w:suppressLineNumbers w:val="0"/>
        <w:ind w:left="0" w:firstLine="420"/>
        <w:jc w:val="left"/>
      </w:pPr>
      <w:r>
        <w:t>公务用车购置支出0.00万元，购置车辆0辆。</w:t>
      </w:r>
    </w:p>
    <w:p>
      <w:pPr>
        <w:pStyle w:val="2"/>
        <w:keepNext w:val="0"/>
        <w:keepLines w:val="0"/>
        <w:widowControl/>
        <w:suppressLineNumbers w:val="0"/>
        <w:ind w:left="0" w:firstLine="420"/>
        <w:jc w:val="left"/>
      </w:pPr>
      <w:r>
        <w:t>公务用车运行维护支出0.00万元，开支一般公共预算财政拨款的公务用车保有量为0辆。</w:t>
      </w:r>
    </w:p>
    <w:p>
      <w:pPr>
        <w:pStyle w:val="2"/>
        <w:keepNext w:val="0"/>
        <w:keepLines w:val="0"/>
        <w:widowControl/>
        <w:suppressLineNumbers w:val="0"/>
        <w:ind w:left="0" w:firstLine="420"/>
        <w:jc w:val="left"/>
      </w:pPr>
      <w:r>
        <w:t>3.公务接待费支出0.00万元。其中：</w:t>
      </w:r>
    </w:p>
    <w:p>
      <w:pPr>
        <w:pStyle w:val="2"/>
        <w:keepNext w:val="0"/>
        <w:keepLines w:val="0"/>
        <w:widowControl/>
        <w:suppressLineNumbers w:val="0"/>
        <w:ind w:left="0" w:firstLine="420"/>
        <w:jc w:val="left"/>
      </w:pPr>
      <w:r>
        <w:t>国内接待费支出0.00万元（其中：外事接待费支出0.00万元），共安排国内公务接待0批次（其中：外事接待0批次），接待人次0人（其中：外事接待人次0人）。</w:t>
      </w:r>
    </w:p>
    <w:p>
      <w:pPr>
        <w:pStyle w:val="2"/>
        <w:keepNext w:val="0"/>
        <w:keepLines w:val="0"/>
        <w:widowControl/>
        <w:suppressLineNumbers w:val="0"/>
        <w:ind w:left="0" w:firstLine="420"/>
        <w:jc w:val="left"/>
      </w:pPr>
      <w:r>
        <w:t>国（境）外接待费支出0.00万元，共安排国（境）外公务接待0批次，接待人次0人。</w:t>
      </w:r>
    </w:p>
    <w:p>
      <w:pPr>
        <w:pStyle w:val="2"/>
        <w:keepNext w:val="0"/>
        <w:keepLines w:val="0"/>
        <w:widowControl/>
        <w:suppressLineNumbers w:val="0"/>
        <w:ind w:left="0" w:firstLine="420"/>
        <w:jc w:val="left"/>
      </w:pPr>
      <w:r>
        <w:t>第四部分  其他重要事项及相关口径情况说明</w:t>
      </w:r>
    </w:p>
    <w:p>
      <w:pPr>
        <w:pStyle w:val="2"/>
        <w:keepNext w:val="0"/>
        <w:keepLines w:val="0"/>
        <w:widowControl/>
        <w:suppressLineNumbers w:val="0"/>
        <w:ind w:left="0" w:firstLine="420"/>
        <w:jc w:val="left"/>
      </w:pPr>
      <w:r>
        <w:t>一、机关运行经费支出情况</w:t>
      </w:r>
    </w:p>
    <w:p>
      <w:pPr>
        <w:pStyle w:val="2"/>
        <w:keepNext w:val="0"/>
        <w:keepLines w:val="0"/>
        <w:widowControl/>
        <w:suppressLineNumbers w:val="0"/>
        <w:ind w:left="0" w:firstLine="420"/>
        <w:jc w:val="left"/>
      </w:pPr>
      <w:r>
        <w:t>迪庆州香格里拉市教师进修学校2021年机关运行经费支出0.00万元。</w:t>
      </w:r>
    </w:p>
    <w:p>
      <w:pPr>
        <w:pStyle w:val="2"/>
        <w:keepNext w:val="0"/>
        <w:keepLines w:val="0"/>
        <w:widowControl/>
        <w:suppressLineNumbers w:val="0"/>
      </w:pPr>
      <w:r>
        <w:t> </w:t>
      </w:r>
    </w:p>
    <w:p>
      <w:pPr>
        <w:pStyle w:val="2"/>
        <w:keepNext w:val="0"/>
        <w:keepLines w:val="0"/>
        <w:widowControl/>
        <w:suppressLineNumbers w:val="0"/>
        <w:ind w:left="0" w:firstLine="420"/>
        <w:jc w:val="left"/>
      </w:pPr>
      <w:r>
        <w:t>二、国有资产占用情况</w:t>
      </w:r>
    </w:p>
    <w:p>
      <w:pPr>
        <w:pStyle w:val="2"/>
        <w:keepNext w:val="0"/>
        <w:keepLines w:val="0"/>
        <w:widowControl/>
        <w:suppressLineNumbers w:val="0"/>
        <w:spacing w:before="0" w:beforeAutospacing="0" w:after="0" w:afterAutospacing="0"/>
        <w:ind w:left="0" w:right="0" w:firstLine="600"/>
        <w:jc w:val="left"/>
      </w:pPr>
      <w:r>
        <w:t>截至2021年</w:t>
      </w:r>
      <w:r>
        <w:rPr>
          <w:rFonts w:hint="eastAsia"/>
          <w:lang w:val="en-US" w:eastAsia="zh-CN"/>
        </w:rPr>
        <w:t>12月31日</w:t>
      </w:r>
      <w:r>
        <w:t>，迪庆州香格里拉市教师进修学校部门资产总额504.01万元，其中，流动资产151.72万元，固定资产352.29万元，对外投资及有价证券0.00万元，在建工程0.00万元，无形资产0.00万元，其他资产0.00万元（具体内容详见附表）。与上年相比，本年资产总额</w:t>
      </w:r>
      <w:r>
        <w:rPr>
          <w:rFonts w:hint="eastAsia"/>
          <w:lang w:eastAsia="zh-CN"/>
        </w:rPr>
        <w:t>增加</w:t>
      </w:r>
      <w:r>
        <w:rPr>
          <w:rFonts w:hint="eastAsia"/>
          <w:lang w:val="en-US" w:eastAsia="zh-CN"/>
        </w:rPr>
        <w:t>302.48</w:t>
      </w:r>
      <w:r>
        <w:t>万元，其中流动资产</w:t>
      </w:r>
      <w:r>
        <w:rPr>
          <w:rFonts w:hint="eastAsia"/>
          <w:lang w:eastAsia="zh-CN"/>
        </w:rPr>
        <w:t>减少</w:t>
      </w:r>
      <w:r>
        <w:rPr>
          <w:rFonts w:hint="eastAsia"/>
          <w:lang w:val="en-US" w:eastAsia="zh-CN"/>
        </w:rPr>
        <w:t>48万元，</w:t>
      </w:r>
      <w:r>
        <w:t>固定资产</w:t>
      </w:r>
      <w:r>
        <w:rPr>
          <w:rFonts w:hint="eastAsia"/>
          <w:lang w:eastAsia="zh-CN"/>
        </w:rPr>
        <w:t>增加</w:t>
      </w:r>
      <w:r>
        <w:rPr>
          <w:rFonts w:hint="eastAsia"/>
          <w:lang w:val="en-US" w:eastAsia="zh-CN"/>
        </w:rPr>
        <w:t>349.45</w:t>
      </w:r>
      <w:r>
        <w:t>万元。处置房屋建筑物0平方米，账面原值0万元；处置车辆0辆，账面原值0万元；报废报损资产0项，账面原值0万元，实现资产处置收入0万元；出租房屋0平方米，账面原值0万元，实现资产使用收入0万元。</w:t>
      </w:r>
    </w:p>
    <w:p>
      <w:pPr>
        <w:pStyle w:val="2"/>
        <w:keepNext w:val="0"/>
        <w:keepLines w:val="0"/>
        <w:widowControl/>
        <w:suppressLineNumbers w:val="0"/>
        <w:spacing w:before="0" w:beforeAutospacing="0" w:after="0" w:afterAutospacing="0"/>
        <w:ind w:left="0" w:right="0" w:firstLine="600"/>
        <w:jc w:val="left"/>
      </w:pPr>
    </w:p>
    <w:p>
      <w:pPr>
        <w:pStyle w:val="2"/>
        <w:keepNext w:val="0"/>
        <w:keepLines w:val="0"/>
        <w:widowControl/>
        <w:suppressLineNumbers w:val="0"/>
        <w:spacing w:before="0" w:beforeAutospacing="0" w:after="0" w:afterAutospacing="0"/>
        <w:ind w:left="0" w:right="0" w:firstLine="600"/>
        <w:jc w:val="left"/>
      </w:pPr>
    </w:p>
    <w:p>
      <w:pPr>
        <w:pStyle w:val="2"/>
        <w:keepNext w:val="0"/>
        <w:keepLines w:val="0"/>
        <w:widowControl/>
        <w:suppressLineNumbers w:val="0"/>
        <w:spacing w:before="0" w:beforeAutospacing="0" w:after="0" w:afterAutospacing="0"/>
        <w:ind w:left="0" w:right="0" w:firstLine="600"/>
        <w:jc w:val="left"/>
      </w:pPr>
    </w:p>
    <w:p>
      <w:pPr>
        <w:pStyle w:val="2"/>
        <w:keepNext w:val="0"/>
        <w:keepLines w:val="0"/>
        <w:widowControl/>
        <w:suppressLineNumbers w:val="0"/>
        <w:spacing w:before="0" w:beforeAutospacing="0" w:after="0" w:afterAutospacing="0"/>
        <w:ind w:left="0" w:right="0" w:firstLine="600"/>
        <w:jc w:val="left"/>
      </w:pPr>
    </w:p>
    <w:p>
      <w:pPr>
        <w:pStyle w:val="2"/>
        <w:keepNext w:val="0"/>
        <w:keepLines w:val="0"/>
        <w:widowControl/>
        <w:suppressLineNumbers w:val="0"/>
        <w:spacing w:before="0" w:beforeAutospacing="0" w:after="0" w:afterAutospacing="0"/>
        <w:ind w:left="0" w:right="0" w:firstLine="600"/>
        <w:jc w:val="left"/>
      </w:pPr>
    </w:p>
    <w:p>
      <w:pPr>
        <w:pStyle w:val="2"/>
        <w:keepNext w:val="0"/>
        <w:keepLines w:val="0"/>
        <w:widowControl/>
        <w:suppressLineNumbers w:val="0"/>
        <w:spacing w:before="0" w:beforeAutospacing="0" w:after="0" w:afterAutospacing="0"/>
        <w:ind w:left="0" w:right="0" w:firstLine="600"/>
        <w:jc w:val="left"/>
      </w:pPr>
    </w:p>
    <w:p>
      <w:pPr>
        <w:pStyle w:val="2"/>
        <w:keepNext w:val="0"/>
        <w:keepLines w:val="0"/>
        <w:widowControl/>
        <w:suppressLineNumbers w:val="0"/>
        <w:spacing w:before="0" w:beforeAutospacing="0" w:after="0" w:afterAutospacing="0"/>
        <w:ind w:left="0" w:right="0" w:firstLine="600"/>
        <w:jc w:val="left"/>
      </w:pPr>
    </w:p>
    <w:p>
      <w:pPr>
        <w:pStyle w:val="2"/>
        <w:keepNext w:val="0"/>
        <w:keepLines w:val="0"/>
        <w:widowControl/>
        <w:suppressLineNumbers w:val="0"/>
        <w:spacing w:before="0" w:beforeAutospacing="0" w:after="0" w:afterAutospacing="0"/>
        <w:ind w:left="0" w:right="0" w:firstLine="600"/>
        <w:jc w:val="left"/>
      </w:pPr>
    </w:p>
    <w:p>
      <w:pPr>
        <w:pStyle w:val="2"/>
        <w:keepNext w:val="0"/>
        <w:keepLines w:val="0"/>
        <w:widowControl/>
        <w:suppressLineNumbers w:val="0"/>
        <w:spacing w:before="0" w:beforeAutospacing="0" w:after="0" w:afterAutospacing="0"/>
        <w:ind w:left="0" w:right="0" w:firstLine="600"/>
        <w:jc w:val="left"/>
      </w:pPr>
    </w:p>
    <w:p>
      <w:pPr>
        <w:pStyle w:val="2"/>
        <w:keepNext w:val="0"/>
        <w:keepLines w:val="0"/>
        <w:widowControl/>
        <w:suppressLineNumbers w:val="0"/>
        <w:spacing w:before="0" w:beforeAutospacing="0" w:after="0" w:afterAutospacing="0"/>
        <w:ind w:left="0" w:right="0" w:firstLine="600"/>
        <w:jc w:val="left"/>
      </w:pPr>
    </w:p>
    <w:p>
      <w:pPr>
        <w:pStyle w:val="2"/>
        <w:keepNext w:val="0"/>
        <w:keepLines w:val="0"/>
        <w:widowControl/>
        <w:suppressLineNumbers w:val="0"/>
        <w:spacing w:before="0" w:beforeAutospacing="0" w:after="0" w:afterAutospacing="0"/>
        <w:ind w:left="0" w:right="0" w:firstLine="600"/>
        <w:jc w:val="left"/>
      </w:pPr>
    </w:p>
    <w:p>
      <w:pPr>
        <w:pStyle w:val="2"/>
        <w:keepNext w:val="0"/>
        <w:keepLines w:val="0"/>
        <w:widowControl/>
        <w:suppressLineNumbers w:val="0"/>
        <w:spacing w:before="0" w:beforeAutospacing="0" w:after="0" w:afterAutospacing="0"/>
        <w:ind w:left="0" w:right="0" w:firstLine="600"/>
        <w:jc w:val="left"/>
      </w:pPr>
    </w:p>
    <w:tbl>
      <w:tblPr>
        <w:tblStyle w:val="7"/>
        <w:tblpPr w:leftFromText="180" w:rightFromText="180" w:vertAnchor="text" w:horzAnchor="page" w:tblpX="2054" w:tblpY="363"/>
        <w:tblOverlap w:val="never"/>
        <w:tblW w:w="8420" w:type="dxa"/>
        <w:tblInd w:w="0" w:type="dxa"/>
        <w:tblLayout w:type="fixed"/>
        <w:tblCellMar>
          <w:top w:w="15" w:type="dxa"/>
          <w:left w:w="15" w:type="dxa"/>
          <w:bottom w:w="15" w:type="dxa"/>
          <w:right w:w="15" w:type="dxa"/>
        </w:tblCellMar>
      </w:tblPr>
      <w:tblGrid>
        <w:gridCol w:w="384"/>
        <w:gridCol w:w="371"/>
        <w:gridCol w:w="588"/>
        <w:gridCol w:w="588"/>
        <w:gridCol w:w="479"/>
        <w:gridCol w:w="696"/>
        <w:gridCol w:w="1"/>
        <w:gridCol w:w="370"/>
        <w:gridCol w:w="1296"/>
        <w:gridCol w:w="805"/>
        <w:gridCol w:w="1078"/>
        <w:gridCol w:w="588"/>
        <w:gridCol w:w="588"/>
        <w:gridCol w:w="588"/>
      </w:tblGrid>
      <w:tr>
        <w:tblPrEx>
          <w:tblLayout w:type="fixed"/>
          <w:tblCellMar>
            <w:top w:w="15" w:type="dxa"/>
            <w:left w:w="15" w:type="dxa"/>
            <w:bottom w:w="15" w:type="dxa"/>
            <w:right w:w="15" w:type="dxa"/>
          </w:tblCellMar>
        </w:tblPrEx>
        <w:trPr>
          <w:trHeight w:val="355" w:hRule="atLeast"/>
        </w:trPr>
        <w:tc>
          <w:tcPr>
            <w:tcW w:w="8420" w:type="dxa"/>
            <w:gridSpan w:val="14"/>
            <w:noWrap w:val="0"/>
            <w:tcMar>
              <w:top w:w="5" w:type="dxa"/>
              <w:left w:w="113" w:type="dxa"/>
              <w:bottom w:w="5" w:type="dxa"/>
              <w:right w:w="113" w:type="dxa"/>
            </w:tcMar>
            <w:vAlign w:val="center"/>
          </w:tcPr>
          <w:p>
            <w:pPr>
              <w:pStyle w:val="6"/>
              <w:widowControl/>
              <w:spacing w:before="0" w:after="0"/>
              <w:ind w:left="0" w:right="0"/>
              <w:jc w:val="center"/>
              <w:rPr>
                <w:rFonts w:ascii="Times New Roman" w:hAnsi="Times New Roman" w:eastAsia="Times New Roman" w:cs="Times New Roman"/>
                <w:b w:val="0"/>
                <w:bCs w:val="0"/>
                <w:i w:val="0"/>
                <w:iCs w:val="0"/>
                <w:smallCaps w:val="0"/>
                <w:color w:val="000000"/>
                <w:kern w:val="0"/>
                <w:sz w:val="21"/>
                <w:szCs w:val="21"/>
              </w:rPr>
            </w:pPr>
            <w:bookmarkStart w:id="0" w:name="_GoBack"/>
            <w:bookmarkEnd w:id="0"/>
            <w:r>
              <w:rPr>
                <w:rFonts w:ascii="仿宋" w:hAnsi="仿宋" w:eastAsia="仿宋" w:cs="仿宋"/>
                <w:b/>
                <w:bCs/>
                <w:i w:val="0"/>
                <w:iCs w:val="0"/>
                <w:smallCaps w:val="0"/>
                <w:color w:val="000000"/>
                <w:kern w:val="0"/>
                <w:sz w:val="30"/>
                <w:szCs w:val="30"/>
              </w:rPr>
              <w:t>国有资产占有使用情况表</w:t>
            </w:r>
          </w:p>
        </w:tc>
      </w:tr>
      <w:tr>
        <w:tblPrEx>
          <w:tblLayout w:type="fixed"/>
          <w:tblCellMar>
            <w:top w:w="15" w:type="dxa"/>
            <w:left w:w="15" w:type="dxa"/>
            <w:bottom w:w="15" w:type="dxa"/>
            <w:right w:w="15" w:type="dxa"/>
          </w:tblCellMar>
        </w:tblPrEx>
        <w:trPr>
          <w:trHeight w:val="211" w:hRule="atLeast"/>
        </w:trPr>
        <w:tc>
          <w:tcPr>
            <w:tcW w:w="384" w:type="dxa"/>
            <w:tcBorders>
              <w:bottom w:val="single" w:color="000000" w:sz="8" w:space="0"/>
            </w:tcBorders>
            <w:noWrap w:val="0"/>
            <w:tcMar>
              <w:top w:w="5" w:type="dxa"/>
              <w:left w:w="113" w:type="dxa"/>
              <w:bottom w:w="10" w:type="dxa"/>
              <w:right w:w="113" w:type="dxa"/>
            </w:tcMar>
            <w:vAlign w:val="top"/>
          </w:tcPr>
          <w:p>
            <w:pPr>
              <w:pStyle w:val="6"/>
              <w:widowControl/>
              <w:spacing w:before="0" w:after="0"/>
              <w:ind w:left="0" w:right="0"/>
              <w:jc w:val="center"/>
              <w:rPr>
                <w:rFonts w:ascii="Times New Roman" w:hAnsi="Times New Roman" w:eastAsia="Times New Roman" w:cs="Times New Roman"/>
                <w:b w:val="0"/>
                <w:bCs w:val="0"/>
                <w:i w:val="0"/>
                <w:iCs w:val="0"/>
                <w:smallCaps w:val="0"/>
                <w:color w:val="000000"/>
                <w:kern w:val="0"/>
                <w:sz w:val="21"/>
                <w:szCs w:val="21"/>
              </w:rPr>
            </w:pPr>
            <w:r>
              <w:rPr>
                <w:rFonts w:ascii="Calibri" w:hAnsi="Calibri" w:eastAsia="Calibri" w:cs="Calibri"/>
                <w:b w:val="0"/>
                <w:bCs w:val="0"/>
                <w:i w:val="0"/>
                <w:iCs w:val="0"/>
                <w:smallCaps w:val="0"/>
                <w:color w:val="000000"/>
                <w:kern w:val="0"/>
                <w:sz w:val="18"/>
                <w:szCs w:val="18"/>
              </w:rPr>
              <w:t> </w:t>
            </w:r>
          </w:p>
        </w:tc>
        <w:tc>
          <w:tcPr>
            <w:tcW w:w="371" w:type="dxa"/>
            <w:tcBorders>
              <w:bottom w:val="single" w:color="000000" w:sz="8" w:space="0"/>
            </w:tcBorders>
            <w:noWrap w:val="0"/>
            <w:tcMar>
              <w:top w:w="5" w:type="dxa"/>
              <w:left w:w="113" w:type="dxa"/>
              <w:bottom w:w="10" w:type="dxa"/>
              <w:right w:w="113" w:type="dxa"/>
            </w:tcMar>
            <w:vAlign w:val="top"/>
          </w:tcPr>
          <w:p>
            <w:pPr>
              <w:pStyle w:val="6"/>
              <w:widowControl/>
              <w:spacing w:before="0" w:after="0"/>
              <w:ind w:left="0" w:right="0"/>
              <w:jc w:val="center"/>
              <w:rPr>
                <w:rFonts w:ascii="Times New Roman" w:hAnsi="Times New Roman" w:eastAsia="Times New Roman" w:cs="Times New Roman"/>
                <w:b w:val="0"/>
                <w:bCs w:val="0"/>
                <w:i w:val="0"/>
                <w:iCs w:val="0"/>
                <w:smallCaps w:val="0"/>
                <w:color w:val="000000"/>
                <w:kern w:val="0"/>
                <w:sz w:val="21"/>
                <w:szCs w:val="21"/>
              </w:rPr>
            </w:pPr>
            <w:r>
              <w:rPr>
                <w:rFonts w:ascii="Calibri" w:hAnsi="Calibri" w:eastAsia="Calibri" w:cs="Calibri"/>
                <w:b w:val="0"/>
                <w:bCs w:val="0"/>
                <w:i w:val="0"/>
                <w:iCs w:val="0"/>
                <w:smallCaps w:val="0"/>
                <w:color w:val="000000"/>
                <w:kern w:val="0"/>
                <w:sz w:val="18"/>
                <w:szCs w:val="18"/>
              </w:rPr>
              <w:t> </w:t>
            </w:r>
          </w:p>
        </w:tc>
        <w:tc>
          <w:tcPr>
            <w:tcW w:w="588" w:type="dxa"/>
            <w:tcBorders>
              <w:bottom w:val="single" w:color="000000" w:sz="8" w:space="0"/>
            </w:tcBorders>
            <w:noWrap w:val="0"/>
            <w:tcMar>
              <w:top w:w="5" w:type="dxa"/>
              <w:left w:w="113" w:type="dxa"/>
              <w:bottom w:w="10" w:type="dxa"/>
              <w:right w:w="113" w:type="dxa"/>
            </w:tcMar>
            <w:vAlign w:val="top"/>
          </w:tcPr>
          <w:p>
            <w:pPr>
              <w:pStyle w:val="6"/>
              <w:widowControl/>
              <w:spacing w:before="0" w:after="0"/>
              <w:ind w:left="0" w:right="0"/>
              <w:jc w:val="center"/>
              <w:rPr>
                <w:rFonts w:ascii="Times New Roman" w:hAnsi="Times New Roman" w:eastAsia="Times New Roman" w:cs="Times New Roman"/>
                <w:b w:val="0"/>
                <w:bCs w:val="0"/>
                <w:i w:val="0"/>
                <w:iCs w:val="0"/>
                <w:smallCaps w:val="0"/>
                <w:color w:val="000000"/>
                <w:kern w:val="0"/>
                <w:sz w:val="21"/>
                <w:szCs w:val="21"/>
              </w:rPr>
            </w:pPr>
            <w:r>
              <w:rPr>
                <w:rFonts w:ascii="Calibri" w:hAnsi="Calibri" w:eastAsia="Calibri" w:cs="Calibri"/>
                <w:b w:val="0"/>
                <w:bCs w:val="0"/>
                <w:i w:val="0"/>
                <w:iCs w:val="0"/>
                <w:smallCaps w:val="0"/>
                <w:color w:val="000000"/>
                <w:kern w:val="0"/>
                <w:sz w:val="18"/>
                <w:szCs w:val="18"/>
              </w:rPr>
              <w:t> </w:t>
            </w:r>
          </w:p>
        </w:tc>
        <w:tc>
          <w:tcPr>
            <w:tcW w:w="588" w:type="dxa"/>
            <w:tcBorders>
              <w:bottom w:val="single" w:color="000000" w:sz="8" w:space="0"/>
            </w:tcBorders>
            <w:noWrap w:val="0"/>
            <w:tcMar>
              <w:top w:w="5" w:type="dxa"/>
              <w:left w:w="113" w:type="dxa"/>
              <w:bottom w:w="10" w:type="dxa"/>
              <w:right w:w="113" w:type="dxa"/>
            </w:tcMar>
            <w:vAlign w:val="top"/>
          </w:tcPr>
          <w:p>
            <w:pPr>
              <w:pStyle w:val="6"/>
              <w:widowControl/>
              <w:spacing w:before="0" w:after="0"/>
              <w:ind w:left="0" w:right="0"/>
              <w:jc w:val="center"/>
              <w:rPr>
                <w:rFonts w:ascii="Times New Roman" w:hAnsi="Times New Roman" w:eastAsia="Times New Roman" w:cs="Times New Roman"/>
                <w:b w:val="0"/>
                <w:bCs w:val="0"/>
                <w:i w:val="0"/>
                <w:iCs w:val="0"/>
                <w:smallCaps w:val="0"/>
                <w:color w:val="000000"/>
                <w:kern w:val="0"/>
                <w:sz w:val="21"/>
                <w:szCs w:val="21"/>
              </w:rPr>
            </w:pPr>
            <w:r>
              <w:rPr>
                <w:rFonts w:ascii="Calibri" w:hAnsi="Calibri" w:eastAsia="Calibri" w:cs="Calibri"/>
                <w:b w:val="0"/>
                <w:bCs w:val="0"/>
                <w:i w:val="0"/>
                <w:iCs w:val="0"/>
                <w:smallCaps w:val="0"/>
                <w:color w:val="000000"/>
                <w:kern w:val="0"/>
                <w:sz w:val="18"/>
                <w:szCs w:val="18"/>
              </w:rPr>
              <w:t> </w:t>
            </w:r>
          </w:p>
        </w:tc>
        <w:tc>
          <w:tcPr>
            <w:tcW w:w="479" w:type="dxa"/>
            <w:tcBorders>
              <w:bottom w:val="single" w:color="000000" w:sz="8" w:space="0"/>
            </w:tcBorders>
            <w:noWrap w:val="0"/>
            <w:tcMar>
              <w:top w:w="5" w:type="dxa"/>
              <w:left w:w="113" w:type="dxa"/>
              <w:bottom w:w="10" w:type="dxa"/>
              <w:right w:w="113" w:type="dxa"/>
            </w:tcMar>
            <w:vAlign w:val="top"/>
          </w:tcPr>
          <w:p>
            <w:pPr>
              <w:pStyle w:val="6"/>
              <w:widowControl/>
              <w:spacing w:before="0" w:after="0"/>
              <w:ind w:left="0" w:right="0"/>
              <w:jc w:val="center"/>
              <w:rPr>
                <w:rFonts w:ascii="Times New Roman" w:hAnsi="Times New Roman" w:eastAsia="Times New Roman" w:cs="Times New Roman"/>
                <w:b w:val="0"/>
                <w:bCs w:val="0"/>
                <w:i w:val="0"/>
                <w:iCs w:val="0"/>
                <w:smallCaps w:val="0"/>
                <w:color w:val="000000"/>
                <w:kern w:val="0"/>
                <w:sz w:val="21"/>
                <w:szCs w:val="21"/>
              </w:rPr>
            </w:pPr>
            <w:r>
              <w:rPr>
                <w:rFonts w:ascii="Calibri" w:hAnsi="Calibri" w:eastAsia="Calibri" w:cs="Calibri"/>
                <w:b w:val="0"/>
                <w:bCs w:val="0"/>
                <w:i w:val="0"/>
                <w:iCs w:val="0"/>
                <w:smallCaps w:val="0"/>
                <w:color w:val="000000"/>
                <w:kern w:val="0"/>
                <w:sz w:val="18"/>
                <w:szCs w:val="18"/>
              </w:rPr>
              <w:t> </w:t>
            </w:r>
          </w:p>
        </w:tc>
        <w:tc>
          <w:tcPr>
            <w:tcW w:w="696" w:type="dxa"/>
            <w:tcBorders>
              <w:bottom w:val="single" w:color="000000" w:sz="8" w:space="0"/>
            </w:tcBorders>
            <w:noWrap w:val="0"/>
            <w:tcMar>
              <w:top w:w="5" w:type="dxa"/>
              <w:left w:w="113" w:type="dxa"/>
              <w:bottom w:w="10" w:type="dxa"/>
              <w:right w:w="113" w:type="dxa"/>
            </w:tcMar>
            <w:vAlign w:val="top"/>
          </w:tcPr>
          <w:p>
            <w:pPr>
              <w:pStyle w:val="6"/>
              <w:widowControl/>
              <w:spacing w:before="0" w:after="0"/>
              <w:ind w:left="0" w:right="0"/>
              <w:jc w:val="center"/>
              <w:rPr>
                <w:rFonts w:ascii="Times New Roman" w:hAnsi="Times New Roman" w:eastAsia="Times New Roman" w:cs="Times New Roman"/>
                <w:b w:val="0"/>
                <w:bCs w:val="0"/>
                <w:i w:val="0"/>
                <w:iCs w:val="0"/>
                <w:smallCaps w:val="0"/>
                <w:color w:val="000000"/>
                <w:kern w:val="0"/>
                <w:sz w:val="21"/>
                <w:szCs w:val="21"/>
              </w:rPr>
            </w:pPr>
            <w:r>
              <w:rPr>
                <w:rFonts w:ascii="Calibri" w:hAnsi="Calibri" w:eastAsia="Calibri" w:cs="Calibri"/>
                <w:b w:val="0"/>
                <w:bCs w:val="0"/>
                <w:i w:val="0"/>
                <w:iCs w:val="0"/>
                <w:smallCaps w:val="0"/>
                <w:color w:val="000000"/>
                <w:kern w:val="0"/>
                <w:sz w:val="18"/>
                <w:szCs w:val="18"/>
              </w:rPr>
              <w:t> </w:t>
            </w:r>
          </w:p>
        </w:tc>
        <w:tc>
          <w:tcPr>
            <w:tcW w:w="371" w:type="dxa"/>
            <w:gridSpan w:val="2"/>
            <w:tcBorders>
              <w:bottom w:val="single" w:color="000000" w:sz="8" w:space="0"/>
            </w:tcBorders>
            <w:noWrap w:val="0"/>
            <w:tcMar>
              <w:top w:w="5" w:type="dxa"/>
              <w:left w:w="113" w:type="dxa"/>
              <w:bottom w:w="10" w:type="dxa"/>
              <w:right w:w="113" w:type="dxa"/>
            </w:tcMar>
            <w:vAlign w:val="top"/>
          </w:tcPr>
          <w:p>
            <w:pPr>
              <w:pStyle w:val="6"/>
              <w:widowControl/>
              <w:spacing w:before="0" w:after="0"/>
              <w:ind w:left="0" w:right="0"/>
              <w:jc w:val="center"/>
              <w:rPr>
                <w:rFonts w:ascii="Times New Roman" w:hAnsi="Times New Roman" w:eastAsia="Times New Roman" w:cs="Times New Roman"/>
                <w:b w:val="0"/>
                <w:bCs w:val="0"/>
                <w:i w:val="0"/>
                <w:iCs w:val="0"/>
                <w:smallCaps w:val="0"/>
                <w:color w:val="000000"/>
                <w:kern w:val="0"/>
                <w:sz w:val="21"/>
                <w:szCs w:val="21"/>
              </w:rPr>
            </w:pPr>
            <w:r>
              <w:rPr>
                <w:rFonts w:ascii="Calibri" w:hAnsi="Calibri" w:eastAsia="Calibri" w:cs="Calibri"/>
                <w:b w:val="0"/>
                <w:bCs w:val="0"/>
                <w:i w:val="0"/>
                <w:iCs w:val="0"/>
                <w:smallCaps w:val="0"/>
                <w:color w:val="000000"/>
                <w:kern w:val="0"/>
                <w:sz w:val="18"/>
                <w:szCs w:val="18"/>
              </w:rPr>
              <w:t> </w:t>
            </w:r>
          </w:p>
        </w:tc>
        <w:tc>
          <w:tcPr>
            <w:tcW w:w="1296" w:type="dxa"/>
            <w:tcBorders>
              <w:bottom w:val="single" w:color="000000" w:sz="8" w:space="0"/>
            </w:tcBorders>
            <w:noWrap w:val="0"/>
            <w:tcMar>
              <w:top w:w="5" w:type="dxa"/>
              <w:left w:w="113" w:type="dxa"/>
              <w:bottom w:w="10" w:type="dxa"/>
              <w:right w:w="113" w:type="dxa"/>
            </w:tcMar>
            <w:vAlign w:val="top"/>
          </w:tcPr>
          <w:p>
            <w:pPr>
              <w:pStyle w:val="6"/>
              <w:widowControl/>
              <w:spacing w:before="0" w:after="0"/>
              <w:ind w:left="0" w:right="0"/>
              <w:jc w:val="center"/>
              <w:rPr>
                <w:rFonts w:ascii="Times New Roman" w:hAnsi="Times New Roman" w:eastAsia="Times New Roman" w:cs="Times New Roman"/>
                <w:b w:val="0"/>
                <w:bCs w:val="0"/>
                <w:i w:val="0"/>
                <w:iCs w:val="0"/>
                <w:smallCaps w:val="0"/>
                <w:color w:val="000000"/>
                <w:kern w:val="0"/>
                <w:sz w:val="21"/>
                <w:szCs w:val="21"/>
              </w:rPr>
            </w:pPr>
            <w:r>
              <w:rPr>
                <w:rFonts w:ascii="Calibri" w:hAnsi="Calibri" w:eastAsia="Calibri" w:cs="Calibri"/>
                <w:b w:val="0"/>
                <w:bCs w:val="0"/>
                <w:i w:val="0"/>
                <w:iCs w:val="0"/>
                <w:smallCaps w:val="0"/>
                <w:color w:val="000000"/>
                <w:kern w:val="0"/>
                <w:sz w:val="18"/>
                <w:szCs w:val="18"/>
              </w:rPr>
              <w:t> </w:t>
            </w:r>
          </w:p>
        </w:tc>
        <w:tc>
          <w:tcPr>
            <w:tcW w:w="805" w:type="dxa"/>
            <w:tcBorders>
              <w:bottom w:val="single" w:color="000000" w:sz="8" w:space="0"/>
            </w:tcBorders>
            <w:noWrap w:val="0"/>
            <w:tcMar>
              <w:top w:w="5" w:type="dxa"/>
              <w:left w:w="113" w:type="dxa"/>
              <w:bottom w:w="10" w:type="dxa"/>
              <w:right w:w="113" w:type="dxa"/>
            </w:tcMar>
            <w:vAlign w:val="top"/>
          </w:tcPr>
          <w:p>
            <w:pPr>
              <w:pStyle w:val="6"/>
              <w:widowControl/>
              <w:spacing w:before="0" w:after="0"/>
              <w:ind w:left="0" w:right="0"/>
              <w:jc w:val="center"/>
              <w:rPr>
                <w:rFonts w:ascii="Times New Roman" w:hAnsi="Times New Roman" w:eastAsia="Times New Roman" w:cs="Times New Roman"/>
                <w:b w:val="0"/>
                <w:bCs w:val="0"/>
                <w:i w:val="0"/>
                <w:iCs w:val="0"/>
                <w:smallCaps w:val="0"/>
                <w:color w:val="000000"/>
                <w:kern w:val="0"/>
                <w:sz w:val="21"/>
                <w:szCs w:val="21"/>
              </w:rPr>
            </w:pPr>
            <w:r>
              <w:rPr>
                <w:rFonts w:ascii="Calibri" w:hAnsi="Calibri" w:eastAsia="Calibri" w:cs="Calibri"/>
                <w:b w:val="0"/>
                <w:bCs w:val="0"/>
                <w:i w:val="0"/>
                <w:iCs w:val="0"/>
                <w:smallCaps w:val="0"/>
                <w:color w:val="000000"/>
                <w:kern w:val="0"/>
                <w:sz w:val="18"/>
                <w:szCs w:val="18"/>
              </w:rPr>
              <w:t> </w:t>
            </w:r>
          </w:p>
        </w:tc>
        <w:tc>
          <w:tcPr>
            <w:tcW w:w="1078" w:type="dxa"/>
            <w:tcBorders>
              <w:bottom w:val="single" w:color="000000" w:sz="8" w:space="0"/>
            </w:tcBorders>
            <w:noWrap w:val="0"/>
            <w:tcMar>
              <w:top w:w="5" w:type="dxa"/>
              <w:left w:w="113" w:type="dxa"/>
              <w:bottom w:w="10" w:type="dxa"/>
              <w:right w:w="113" w:type="dxa"/>
            </w:tcMar>
            <w:vAlign w:val="top"/>
          </w:tcPr>
          <w:p>
            <w:pPr>
              <w:pStyle w:val="6"/>
              <w:widowControl/>
              <w:spacing w:before="0" w:after="0"/>
              <w:ind w:left="0" w:right="0"/>
              <w:jc w:val="center"/>
              <w:rPr>
                <w:rFonts w:ascii="Times New Roman" w:hAnsi="Times New Roman" w:eastAsia="Times New Roman" w:cs="Times New Roman"/>
                <w:b w:val="0"/>
                <w:bCs w:val="0"/>
                <w:i w:val="0"/>
                <w:iCs w:val="0"/>
                <w:smallCaps w:val="0"/>
                <w:color w:val="000000"/>
                <w:kern w:val="0"/>
                <w:sz w:val="21"/>
                <w:szCs w:val="21"/>
              </w:rPr>
            </w:pPr>
            <w:r>
              <w:rPr>
                <w:rFonts w:ascii="Calibri" w:hAnsi="Calibri" w:eastAsia="Calibri" w:cs="Calibri"/>
                <w:b w:val="0"/>
                <w:bCs w:val="0"/>
                <w:i w:val="0"/>
                <w:iCs w:val="0"/>
                <w:smallCaps w:val="0"/>
                <w:color w:val="000000"/>
                <w:kern w:val="0"/>
                <w:sz w:val="18"/>
                <w:szCs w:val="18"/>
              </w:rPr>
              <w:t> </w:t>
            </w:r>
          </w:p>
        </w:tc>
        <w:tc>
          <w:tcPr>
            <w:tcW w:w="588" w:type="dxa"/>
            <w:tcBorders>
              <w:bottom w:val="single" w:color="000000" w:sz="8" w:space="0"/>
            </w:tcBorders>
            <w:noWrap w:val="0"/>
            <w:tcMar>
              <w:top w:w="5" w:type="dxa"/>
              <w:left w:w="113" w:type="dxa"/>
              <w:bottom w:w="10" w:type="dxa"/>
              <w:right w:w="113" w:type="dxa"/>
            </w:tcMar>
            <w:vAlign w:val="top"/>
          </w:tcPr>
          <w:p>
            <w:pPr>
              <w:pStyle w:val="6"/>
              <w:widowControl/>
              <w:spacing w:before="0" w:after="0"/>
              <w:ind w:left="0" w:right="0"/>
              <w:jc w:val="center"/>
              <w:rPr>
                <w:rFonts w:ascii="Times New Roman" w:hAnsi="Times New Roman" w:eastAsia="Times New Roman" w:cs="Times New Roman"/>
                <w:b w:val="0"/>
                <w:bCs w:val="0"/>
                <w:i w:val="0"/>
                <w:iCs w:val="0"/>
                <w:smallCaps w:val="0"/>
                <w:color w:val="000000"/>
                <w:kern w:val="0"/>
                <w:sz w:val="21"/>
                <w:szCs w:val="21"/>
              </w:rPr>
            </w:pPr>
            <w:r>
              <w:rPr>
                <w:rFonts w:ascii="Calibri" w:hAnsi="Calibri" w:eastAsia="Calibri" w:cs="Calibri"/>
                <w:b w:val="0"/>
                <w:bCs w:val="0"/>
                <w:i w:val="0"/>
                <w:iCs w:val="0"/>
                <w:smallCaps w:val="0"/>
                <w:color w:val="000000"/>
                <w:kern w:val="0"/>
                <w:sz w:val="18"/>
                <w:szCs w:val="18"/>
              </w:rPr>
              <w:t> </w:t>
            </w:r>
          </w:p>
        </w:tc>
        <w:tc>
          <w:tcPr>
            <w:tcW w:w="1176" w:type="dxa"/>
            <w:gridSpan w:val="2"/>
            <w:tcBorders>
              <w:bottom w:val="single" w:color="000000" w:sz="8" w:space="0"/>
            </w:tcBorders>
            <w:noWrap w:val="0"/>
            <w:tcMar>
              <w:top w:w="5" w:type="dxa"/>
              <w:left w:w="113" w:type="dxa"/>
              <w:bottom w:w="10" w:type="dxa"/>
              <w:right w:w="113" w:type="dxa"/>
            </w:tcMar>
            <w:vAlign w:val="top"/>
          </w:tcPr>
          <w:p>
            <w:pPr>
              <w:pStyle w:val="6"/>
              <w:widowControl/>
              <w:spacing w:before="0" w:after="0"/>
              <w:ind w:left="0" w:right="0"/>
              <w:jc w:val="right"/>
              <w:rPr>
                <w:rFonts w:ascii="Times New Roman" w:hAnsi="Times New Roman" w:eastAsia="Times New Roman" w:cs="Times New Roman"/>
                <w:b w:val="0"/>
                <w:bCs w:val="0"/>
                <w:i w:val="0"/>
                <w:iCs w:val="0"/>
                <w:smallCaps w:val="0"/>
                <w:color w:val="000000"/>
                <w:kern w:val="0"/>
                <w:sz w:val="21"/>
                <w:szCs w:val="21"/>
              </w:rPr>
            </w:pPr>
            <w:r>
              <w:rPr>
                <w:rFonts w:ascii="仿宋" w:hAnsi="仿宋" w:eastAsia="仿宋" w:cs="仿宋"/>
                <w:b w:val="0"/>
                <w:bCs w:val="0"/>
                <w:i w:val="0"/>
                <w:iCs w:val="0"/>
                <w:smallCaps w:val="0"/>
                <w:color w:val="000000"/>
                <w:kern w:val="0"/>
                <w:sz w:val="18"/>
                <w:szCs w:val="18"/>
              </w:rPr>
              <w:t>单位：万元</w:t>
            </w:r>
          </w:p>
        </w:tc>
      </w:tr>
      <w:tr>
        <w:tblPrEx>
          <w:tblLayout w:type="fixed"/>
          <w:tblCellMar>
            <w:top w:w="15" w:type="dxa"/>
            <w:left w:w="15" w:type="dxa"/>
            <w:bottom w:w="15" w:type="dxa"/>
            <w:right w:w="15" w:type="dxa"/>
          </w:tblCellMar>
        </w:tblPrEx>
        <w:trPr>
          <w:trHeight w:val="405" w:hRule="atLeast"/>
        </w:trPr>
        <w:tc>
          <w:tcPr>
            <w:tcW w:w="384" w:type="dxa"/>
            <w:vMerge w:val="restart"/>
            <w:tcBorders>
              <w:left w:val="single" w:color="000000" w:sz="8" w:space="0"/>
              <w:bottom w:val="single" w:color="000000" w:sz="8" w:space="0"/>
              <w:right w:val="single" w:color="000000" w:sz="8" w:space="0"/>
            </w:tcBorders>
            <w:noWrap w:val="0"/>
            <w:tcMar>
              <w:top w:w="5" w:type="dxa"/>
              <w:left w:w="118" w:type="dxa"/>
              <w:bottom w:w="10" w:type="dxa"/>
              <w:right w:w="118" w:type="dxa"/>
            </w:tcMar>
            <w:vAlign w:val="center"/>
          </w:tcPr>
          <w:p>
            <w:pPr>
              <w:pStyle w:val="6"/>
              <w:widowControl/>
              <w:spacing w:before="0" w:after="0"/>
              <w:ind w:left="0" w:right="0"/>
              <w:jc w:val="center"/>
              <w:rPr>
                <w:rFonts w:ascii="Times New Roman" w:hAnsi="Times New Roman" w:eastAsia="Times New Roman" w:cs="Times New Roman"/>
                <w:b w:val="0"/>
                <w:bCs w:val="0"/>
                <w:i w:val="0"/>
                <w:iCs w:val="0"/>
                <w:smallCaps w:val="0"/>
                <w:color w:val="000000"/>
                <w:kern w:val="0"/>
                <w:sz w:val="21"/>
                <w:szCs w:val="21"/>
              </w:rPr>
            </w:pPr>
            <w:r>
              <w:rPr>
                <w:rFonts w:ascii="仿宋" w:hAnsi="仿宋" w:eastAsia="仿宋" w:cs="仿宋"/>
                <w:b w:val="0"/>
                <w:bCs w:val="0"/>
                <w:i w:val="0"/>
                <w:iCs w:val="0"/>
                <w:smallCaps w:val="0"/>
                <w:color w:val="000000"/>
                <w:kern w:val="0"/>
                <w:sz w:val="18"/>
                <w:szCs w:val="18"/>
              </w:rPr>
              <w:t>项目</w:t>
            </w:r>
          </w:p>
        </w:tc>
        <w:tc>
          <w:tcPr>
            <w:tcW w:w="371" w:type="dxa"/>
            <w:vMerge w:val="restart"/>
            <w:tcBorders>
              <w:bottom w:val="single" w:color="000000" w:sz="8" w:space="0"/>
              <w:right w:val="single" w:color="000000" w:sz="8" w:space="0"/>
            </w:tcBorders>
            <w:noWrap w:val="0"/>
            <w:tcMar>
              <w:top w:w="5" w:type="dxa"/>
              <w:left w:w="113" w:type="dxa"/>
              <w:bottom w:w="10" w:type="dxa"/>
              <w:right w:w="118" w:type="dxa"/>
            </w:tcMar>
            <w:vAlign w:val="center"/>
          </w:tcPr>
          <w:p>
            <w:pPr>
              <w:pStyle w:val="6"/>
              <w:widowControl/>
              <w:spacing w:before="0" w:after="0"/>
              <w:ind w:left="0" w:right="0"/>
              <w:jc w:val="center"/>
              <w:rPr>
                <w:rFonts w:ascii="Times New Roman" w:hAnsi="Times New Roman" w:eastAsia="Times New Roman" w:cs="Times New Roman"/>
                <w:b w:val="0"/>
                <w:bCs w:val="0"/>
                <w:i w:val="0"/>
                <w:iCs w:val="0"/>
                <w:smallCaps w:val="0"/>
                <w:color w:val="000000"/>
                <w:kern w:val="0"/>
                <w:sz w:val="21"/>
                <w:szCs w:val="21"/>
              </w:rPr>
            </w:pPr>
            <w:r>
              <w:rPr>
                <w:rFonts w:ascii="仿宋" w:hAnsi="仿宋" w:eastAsia="仿宋" w:cs="仿宋"/>
                <w:b w:val="0"/>
                <w:bCs w:val="0"/>
                <w:i w:val="0"/>
                <w:iCs w:val="0"/>
                <w:smallCaps w:val="0"/>
                <w:color w:val="000000"/>
                <w:kern w:val="0"/>
                <w:sz w:val="18"/>
                <w:szCs w:val="18"/>
              </w:rPr>
              <w:t>行次</w:t>
            </w:r>
          </w:p>
        </w:tc>
        <w:tc>
          <w:tcPr>
            <w:tcW w:w="588" w:type="dxa"/>
            <w:vMerge w:val="restart"/>
            <w:tcBorders>
              <w:bottom w:val="single" w:color="000000" w:sz="8" w:space="0"/>
              <w:right w:val="single" w:color="000000" w:sz="8" w:space="0"/>
            </w:tcBorders>
            <w:noWrap w:val="0"/>
            <w:tcMar>
              <w:top w:w="5" w:type="dxa"/>
              <w:left w:w="113" w:type="dxa"/>
              <w:bottom w:w="10" w:type="dxa"/>
              <w:right w:w="118" w:type="dxa"/>
            </w:tcMar>
            <w:vAlign w:val="center"/>
          </w:tcPr>
          <w:p>
            <w:pPr>
              <w:pStyle w:val="6"/>
              <w:widowControl/>
              <w:spacing w:before="0" w:after="0"/>
              <w:ind w:left="0" w:right="0"/>
              <w:jc w:val="center"/>
              <w:rPr>
                <w:rFonts w:ascii="Times New Roman" w:hAnsi="Times New Roman" w:eastAsia="Times New Roman" w:cs="Times New Roman"/>
                <w:b w:val="0"/>
                <w:bCs w:val="0"/>
                <w:i w:val="0"/>
                <w:iCs w:val="0"/>
                <w:smallCaps w:val="0"/>
                <w:color w:val="000000"/>
                <w:kern w:val="0"/>
                <w:sz w:val="21"/>
                <w:szCs w:val="21"/>
              </w:rPr>
            </w:pPr>
            <w:r>
              <w:rPr>
                <w:rFonts w:ascii="仿宋" w:hAnsi="仿宋" w:eastAsia="仿宋" w:cs="仿宋"/>
                <w:b w:val="0"/>
                <w:bCs w:val="0"/>
                <w:i w:val="0"/>
                <w:iCs w:val="0"/>
                <w:smallCaps w:val="0"/>
                <w:color w:val="000000"/>
                <w:kern w:val="0"/>
                <w:sz w:val="18"/>
                <w:szCs w:val="18"/>
              </w:rPr>
              <w:t>资产总额</w:t>
            </w:r>
          </w:p>
        </w:tc>
        <w:tc>
          <w:tcPr>
            <w:tcW w:w="588" w:type="dxa"/>
            <w:vMerge w:val="restart"/>
            <w:tcBorders>
              <w:bottom w:val="single" w:color="000000" w:sz="8" w:space="0"/>
              <w:right w:val="single" w:color="000000" w:sz="8" w:space="0"/>
            </w:tcBorders>
            <w:noWrap w:val="0"/>
            <w:tcMar>
              <w:top w:w="5" w:type="dxa"/>
              <w:left w:w="113" w:type="dxa"/>
              <w:bottom w:w="10" w:type="dxa"/>
              <w:right w:w="118" w:type="dxa"/>
            </w:tcMar>
            <w:vAlign w:val="center"/>
          </w:tcPr>
          <w:p>
            <w:pPr>
              <w:pStyle w:val="6"/>
              <w:widowControl/>
              <w:spacing w:before="0" w:after="0"/>
              <w:ind w:left="0" w:right="0"/>
              <w:jc w:val="center"/>
              <w:rPr>
                <w:rFonts w:ascii="Times New Roman" w:hAnsi="Times New Roman" w:eastAsia="Times New Roman" w:cs="Times New Roman"/>
                <w:b w:val="0"/>
                <w:bCs w:val="0"/>
                <w:i w:val="0"/>
                <w:iCs w:val="0"/>
                <w:smallCaps w:val="0"/>
                <w:color w:val="000000"/>
                <w:kern w:val="0"/>
                <w:sz w:val="21"/>
                <w:szCs w:val="21"/>
              </w:rPr>
            </w:pPr>
            <w:r>
              <w:rPr>
                <w:rFonts w:ascii="仿宋" w:hAnsi="仿宋" w:eastAsia="仿宋" w:cs="仿宋"/>
                <w:b w:val="0"/>
                <w:bCs w:val="0"/>
                <w:i w:val="0"/>
                <w:iCs w:val="0"/>
                <w:smallCaps w:val="0"/>
                <w:color w:val="000000"/>
                <w:kern w:val="0"/>
                <w:sz w:val="18"/>
                <w:szCs w:val="18"/>
              </w:rPr>
              <w:t>流动资产</w:t>
            </w:r>
          </w:p>
        </w:tc>
        <w:tc>
          <w:tcPr>
            <w:tcW w:w="3647" w:type="dxa"/>
            <w:gridSpan w:val="6"/>
            <w:tcBorders>
              <w:bottom w:val="single" w:color="000000" w:sz="8" w:space="0"/>
              <w:right w:val="single" w:color="000000" w:sz="8" w:space="0"/>
            </w:tcBorders>
            <w:noWrap w:val="0"/>
            <w:tcMar>
              <w:top w:w="5" w:type="dxa"/>
              <w:left w:w="113" w:type="dxa"/>
              <w:bottom w:w="10" w:type="dxa"/>
              <w:right w:w="118" w:type="dxa"/>
            </w:tcMar>
            <w:vAlign w:val="center"/>
          </w:tcPr>
          <w:p>
            <w:pPr>
              <w:pStyle w:val="6"/>
              <w:widowControl/>
              <w:spacing w:before="0" w:after="0"/>
              <w:ind w:left="0" w:right="0"/>
              <w:jc w:val="center"/>
              <w:rPr>
                <w:rFonts w:ascii="Times New Roman" w:hAnsi="Times New Roman" w:eastAsia="Times New Roman" w:cs="Times New Roman"/>
                <w:b w:val="0"/>
                <w:bCs w:val="0"/>
                <w:i w:val="0"/>
                <w:iCs w:val="0"/>
                <w:smallCaps w:val="0"/>
                <w:color w:val="000000"/>
                <w:kern w:val="0"/>
                <w:sz w:val="21"/>
                <w:szCs w:val="21"/>
              </w:rPr>
            </w:pPr>
            <w:r>
              <w:rPr>
                <w:rFonts w:ascii="仿宋" w:hAnsi="仿宋" w:eastAsia="仿宋" w:cs="仿宋"/>
                <w:b w:val="0"/>
                <w:bCs w:val="0"/>
                <w:i w:val="0"/>
                <w:iCs w:val="0"/>
                <w:smallCaps w:val="0"/>
                <w:color w:val="000000"/>
                <w:kern w:val="0"/>
                <w:sz w:val="18"/>
                <w:szCs w:val="18"/>
              </w:rPr>
              <w:t>固定资产</w:t>
            </w:r>
          </w:p>
        </w:tc>
        <w:tc>
          <w:tcPr>
            <w:tcW w:w="1078" w:type="dxa"/>
            <w:vMerge w:val="restart"/>
            <w:tcBorders>
              <w:bottom w:val="single" w:color="000000" w:sz="8" w:space="0"/>
              <w:right w:val="single" w:color="000000" w:sz="8" w:space="0"/>
            </w:tcBorders>
            <w:noWrap w:val="0"/>
            <w:tcMar>
              <w:top w:w="5" w:type="dxa"/>
              <w:left w:w="113" w:type="dxa"/>
              <w:bottom w:w="10" w:type="dxa"/>
              <w:right w:w="118" w:type="dxa"/>
            </w:tcMar>
            <w:vAlign w:val="center"/>
          </w:tcPr>
          <w:p>
            <w:pPr>
              <w:pStyle w:val="6"/>
              <w:widowControl/>
              <w:spacing w:before="0" w:after="0"/>
              <w:ind w:left="0" w:right="0"/>
              <w:jc w:val="center"/>
              <w:rPr>
                <w:rFonts w:ascii="Times New Roman" w:hAnsi="Times New Roman" w:eastAsia="Times New Roman" w:cs="Times New Roman"/>
                <w:b w:val="0"/>
                <w:bCs w:val="0"/>
                <w:i w:val="0"/>
                <w:iCs w:val="0"/>
                <w:smallCaps w:val="0"/>
                <w:color w:val="000000"/>
                <w:kern w:val="0"/>
                <w:sz w:val="21"/>
                <w:szCs w:val="21"/>
              </w:rPr>
            </w:pPr>
            <w:r>
              <w:rPr>
                <w:rFonts w:ascii="仿宋" w:hAnsi="仿宋" w:eastAsia="仿宋" w:cs="仿宋"/>
                <w:b w:val="0"/>
                <w:bCs w:val="0"/>
                <w:i w:val="0"/>
                <w:iCs w:val="0"/>
                <w:smallCaps w:val="0"/>
                <w:color w:val="000000"/>
                <w:kern w:val="0"/>
                <w:sz w:val="18"/>
                <w:szCs w:val="18"/>
              </w:rPr>
              <w:t>对外投资/有价证券</w:t>
            </w:r>
          </w:p>
        </w:tc>
        <w:tc>
          <w:tcPr>
            <w:tcW w:w="588" w:type="dxa"/>
            <w:vMerge w:val="restart"/>
            <w:tcBorders>
              <w:bottom w:val="single" w:color="000000" w:sz="8" w:space="0"/>
              <w:right w:val="single" w:color="000000" w:sz="8" w:space="0"/>
            </w:tcBorders>
            <w:noWrap w:val="0"/>
            <w:tcMar>
              <w:top w:w="5" w:type="dxa"/>
              <w:left w:w="113" w:type="dxa"/>
              <w:bottom w:w="10" w:type="dxa"/>
              <w:right w:w="118" w:type="dxa"/>
            </w:tcMar>
            <w:vAlign w:val="center"/>
          </w:tcPr>
          <w:p>
            <w:pPr>
              <w:pStyle w:val="6"/>
              <w:widowControl/>
              <w:spacing w:before="0" w:after="0"/>
              <w:ind w:left="0" w:right="0"/>
              <w:jc w:val="center"/>
              <w:rPr>
                <w:rFonts w:ascii="Times New Roman" w:hAnsi="Times New Roman" w:eastAsia="Times New Roman" w:cs="Times New Roman"/>
                <w:b w:val="0"/>
                <w:bCs w:val="0"/>
                <w:i w:val="0"/>
                <w:iCs w:val="0"/>
                <w:smallCaps w:val="0"/>
                <w:color w:val="000000"/>
                <w:kern w:val="0"/>
                <w:sz w:val="21"/>
                <w:szCs w:val="21"/>
              </w:rPr>
            </w:pPr>
            <w:r>
              <w:rPr>
                <w:rFonts w:ascii="仿宋" w:hAnsi="仿宋" w:eastAsia="仿宋" w:cs="仿宋"/>
                <w:b w:val="0"/>
                <w:bCs w:val="0"/>
                <w:i w:val="0"/>
                <w:iCs w:val="0"/>
                <w:smallCaps w:val="0"/>
                <w:color w:val="000000"/>
                <w:kern w:val="0"/>
                <w:sz w:val="18"/>
                <w:szCs w:val="18"/>
              </w:rPr>
              <w:t>在建工程</w:t>
            </w:r>
          </w:p>
        </w:tc>
        <w:tc>
          <w:tcPr>
            <w:tcW w:w="588" w:type="dxa"/>
            <w:vMerge w:val="restart"/>
            <w:tcBorders>
              <w:bottom w:val="single" w:color="000000" w:sz="8" w:space="0"/>
              <w:right w:val="single" w:color="000000" w:sz="8" w:space="0"/>
            </w:tcBorders>
            <w:noWrap w:val="0"/>
            <w:tcMar>
              <w:top w:w="5" w:type="dxa"/>
              <w:left w:w="113" w:type="dxa"/>
              <w:bottom w:w="10" w:type="dxa"/>
              <w:right w:w="118" w:type="dxa"/>
            </w:tcMar>
            <w:vAlign w:val="center"/>
          </w:tcPr>
          <w:p>
            <w:pPr>
              <w:pStyle w:val="6"/>
              <w:widowControl/>
              <w:spacing w:before="0" w:after="0"/>
              <w:ind w:left="0" w:right="0"/>
              <w:jc w:val="center"/>
              <w:rPr>
                <w:rFonts w:ascii="Times New Roman" w:hAnsi="Times New Roman" w:eastAsia="Times New Roman" w:cs="Times New Roman"/>
                <w:b w:val="0"/>
                <w:bCs w:val="0"/>
                <w:i w:val="0"/>
                <w:iCs w:val="0"/>
                <w:smallCaps w:val="0"/>
                <w:color w:val="000000"/>
                <w:kern w:val="0"/>
                <w:sz w:val="21"/>
                <w:szCs w:val="21"/>
              </w:rPr>
            </w:pPr>
            <w:r>
              <w:rPr>
                <w:rFonts w:ascii="仿宋" w:hAnsi="仿宋" w:eastAsia="仿宋" w:cs="仿宋"/>
                <w:b w:val="0"/>
                <w:bCs w:val="0"/>
                <w:i w:val="0"/>
                <w:iCs w:val="0"/>
                <w:smallCaps w:val="0"/>
                <w:color w:val="000000"/>
                <w:kern w:val="0"/>
                <w:sz w:val="18"/>
                <w:szCs w:val="18"/>
              </w:rPr>
              <w:t>无形资产</w:t>
            </w:r>
          </w:p>
        </w:tc>
        <w:tc>
          <w:tcPr>
            <w:tcW w:w="588" w:type="dxa"/>
            <w:vMerge w:val="restart"/>
            <w:tcBorders>
              <w:bottom w:val="single" w:color="000000" w:sz="8" w:space="0"/>
              <w:right w:val="single" w:color="000000" w:sz="8" w:space="0"/>
            </w:tcBorders>
            <w:noWrap w:val="0"/>
            <w:tcMar>
              <w:top w:w="5" w:type="dxa"/>
              <w:left w:w="113" w:type="dxa"/>
              <w:bottom w:w="10" w:type="dxa"/>
              <w:right w:w="118" w:type="dxa"/>
            </w:tcMar>
            <w:vAlign w:val="center"/>
          </w:tcPr>
          <w:p>
            <w:pPr>
              <w:pStyle w:val="6"/>
              <w:widowControl/>
              <w:spacing w:before="0" w:after="0"/>
              <w:ind w:left="0" w:right="0"/>
              <w:jc w:val="center"/>
              <w:rPr>
                <w:rFonts w:ascii="Times New Roman" w:hAnsi="Times New Roman" w:eastAsia="Times New Roman" w:cs="Times New Roman"/>
                <w:b w:val="0"/>
                <w:bCs w:val="0"/>
                <w:i w:val="0"/>
                <w:iCs w:val="0"/>
                <w:smallCaps w:val="0"/>
                <w:color w:val="000000"/>
                <w:kern w:val="0"/>
                <w:sz w:val="21"/>
                <w:szCs w:val="21"/>
              </w:rPr>
            </w:pPr>
            <w:r>
              <w:rPr>
                <w:rFonts w:ascii="仿宋" w:hAnsi="仿宋" w:eastAsia="仿宋" w:cs="仿宋"/>
                <w:b w:val="0"/>
                <w:bCs w:val="0"/>
                <w:i w:val="0"/>
                <w:iCs w:val="0"/>
                <w:smallCaps w:val="0"/>
                <w:color w:val="000000"/>
                <w:kern w:val="0"/>
                <w:sz w:val="18"/>
                <w:szCs w:val="18"/>
              </w:rPr>
              <w:t>其他资产</w:t>
            </w:r>
          </w:p>
        </w:tc>
      </w:tr>
      <w:tr>
        <w:tblPrEx>
          <w:tblLayout w:type="fixed"/>
          <w:tblCellMar>
            <w:top w:w="15" w:type="dxa"/>
            <w:left w:w="15" w:type="dxa"/>
            <w:bottom w:w="15" w:type="dxa"/>
            <w:right w:w="15" w:type="dxa"/>
          </w:tblCellMar>
        </w:tblPrEx>
        <w:trPr>
          <w:trHeight w:val="641" w:hRule="atLeast"/>
        </w:trPr>
        <w:tc>
          <w:tcPr>
            <w:tcW w:w="384" w:type="dxa"/>
            <w:vMerge w:val="continue"/>
            <w:tcBorders>
              <w:left w:val="single" w:color="000000" w:sz="8" w:space="0"/>
              <w:bottom w:val="single" w:color="000000" w:sz="8" w:space="0"/>
              <w:right w:val="single" w:color="000000" w:sz="8" w:space="0"/>
            </w:tcBorders>
            <w:noWrap w:val="0"/>
            <w:vAlign w:val="center"/>
          </w:tcPr>
          <w:p>
            <w:pPr>
              <w:widowControl/>
              <w:jc w:val="left"/>
              <w:rPr>
                <w:rFonts w:ascii="仿宋" w:hAnsi="仿宋" w:eastAsia="仿宋" w:cs="仿宋"/>
                <w:b w:val="0"/>
                <w:bCs w:val="0"/>
                <w:i w:val="0"/>
                <w:iCs w:val="0"/>
                <w:smallCaps w:val="0"/>
                <w:color w:val="000000"/>
                <w:kern w:val="0"/>
                <w:sz w:val="18"/>
                <w:szCs w:val="18"/>
              </w:rPr>
            </w:pPr>
          </w:p>
        </w:tc>
        <w:tc>
          <w:tcPr>
            <w:tcW w:w="371" w:type="dxa"/>
            <w:vMerge w:val="continue"/>
            <w:tcBorders>
              <w:bottom w:val="single" w:color="000000" w:sz="8" w:space="0"/>
              <w:right w:val="single" w:color="000000" w:sz="8" w:space="0"/>
            </w:tcBorders>
            <w:noWrap w:val="0"/>
            <w:vAlign w:val="center"/>
          </w:tcPr>
          <w:p>
            <w:pPr>
              <w:widowControl/>
              <w:jc w:val="left"/>
              <w:rPr>
                <w:rFonts w:ascii="仿宋" w:hAnsi="仿宋" w:eastAsia="仿宋" w:cs="仿宋"/>
                <w:b w:val="0"/>
                <w:bCs w:val="0"/>
                <w:i w:val="0"/>
                <w:iCs w:val="0"/>
                <w:smallCaps w:val="0"/>
                <w:color w:val="000000"/>
                <w:kern w:val="0"/>
                <w:sz w:val="18"/>
                <w:szCs w:val="18"/>
              </w:rPr>
            </w:pPr>
          </w:p>
        </w:tc>
        <w:tc>
          <w:tcPr>
            <w:tcW w:w="588" w:type="dxa"/>
            <w:vMerge w:val="continue"/>
            <w:tcBorders>
              <w:bottom w:val="single" w:color="000000" w:sz="8" w:space="0"/>
              <w:right w:val="single" w:color="000000" w:sz="8" w:space="0"/>
            </w:tcBorders>
            <w:noWrap w:val="0"/>
            <w:vAlign w:val="center"/>
          </w:tcPr>
          <w:p>
            <w:pPr>
              <w:widowControl/>
              <w:jc w:val="left"/>
              <w:rPr>
                <w:rFonts w:ascii="仿宋" w:hAnsi="仿宋" w:eastAsia="仿宋" w:cs="仿宋"/>
                <w:b w:val="0"/>
                <w:bCs w:val="0"/>
                <w:i w:val="0"/>
                <w:iCs w:val="0"/>
                <w:smallCaps w:val="0"/>
                <w:color w:val="000000"/>
                <w:kern w:val="0"/>
                <w:sz w:val="18"/>
                <w:szCs w:val="18"/>
              </w:rPr>
            </w:pPr>
          </w:p>
        </w:tc>
        <w:tc>
          <w:tcPr>
            <w:tcW w:w="588" w:type="dxa"/>
            <w:vMerge w:val="continue"/>
            <w:tcBorders>
              <w:bottom w:val="single" w:color="000000" w:sz="8" w:space="0"/>
              <w:right w:val="single" w:color="000000" w:sz="8" w:space="0"/>
            </w:tcBorders>
            <w:noWrap w:val="0"/>
            <w:vAlign w:val="center"/>
          </w:tcPr>
          <w:p>
            <w:pPr>
              <w:widowControl/>
              <w:jc w:val="left"/>
              <w:rPr>
                <w:rFonts w:ascii="仿宋" w:hAnsi="仿宋" w:eastAsia="仿宋" w:cs="仿宋"/>
                <w:b w:val="0"/>
                <w:bCs w:val="0"/>
                <w:i w:val="0"/>
                <w:iCs w:val="0"/>
                <w:smallCaps w:val="0"/>
                <w:color w:val="000000"/>
                <w:kern w:val="0"/>
                <w:sz w:val="18"/>
                <w:szCs w:val="18"/>
              </w:rPr>
            </w:pPr>
          </w:p>
        </w:tc>
        <w:tc>
          <w:tcPr>
            <w:tcW w:w="479" w:type="dxa"/>
            <w:tcBorders>
              <w:bottom w:val="single" w:color="000000" w:sz="8" w:space="0"/>
              <w:right w:val="single" w:color="000000" w:sz="8" w:space="0"/>
            </w:tcBorders>
            <w:noWrap w:val="0"/>
            <w:tcMar>
              <w:top w:w="5" w:type="dxa"/>
              <w:left w:w="113" w:type="dxa"/>
              <w:bottom w:w="10" w:type="dxa"/>
              <w:right w:w="118" w:type="dxa"/>
            </w:tcMar>
            <w:vAlign w:val="center"/>
          </w:tcPr>
          <w:p>
            <w:pPr>
              <w:pStyle w:val="6"/>
              <w:widowControl/>
              <w:spacing w:before="0" w:after="0"/>
              <w:ind w:left="0" w:right="0"/>
              <w:jc w:val="center"/>
              <w:rPr>
                <w:rFonts w:ascii="Times New Roman" w:hAnsi="Times New Roman" w:eastAsia="Times New Roman" w:cs="Times New Roman"/>
                <w:b w:val="0"/>
                <w:bCs w:val="0"/>
                <w:i w:val="0"/>
                <w:iCs w:val="0"/>
                <w:smallCaps w:val="0"/>
                <w:color w:val="000000"/>
                <w:kern w:val="0"/>
                <w:sz w:val="21"/>
                <w:szCs w:val="21"/>
              </w:rPr>
            </w:pPr>
            <w:r>
              <w:rPr>
                <w:rFonts w:ascii="仿宋" w:hAnsi="仿宋" w:eastAsia="仿宋" w:cs="仿宋"/>
                <w:b w:val="0"/>
                <w:bCs w:val="0"/>
                <w:i w:val="0"/>
                <w:iCs w:val="0"/>
                <w:smallCaps w:val="0"/>
                <w:color w:val="000000"/>
                <w:kern w:val="0"/>
                <w:sz w:val="18"/>
                <w:szCs w:val="18"/>
              </w:rPr>
              <w:t>小计</w:t>
            </w:r>
          </w:p>
        </w:tc>
        <w:tc>
          <w:tcPr>
            <w:tcW w:w="697" w:type="dxa"/>
            <w:gridSpan w:val="2"/>
            <w:tcBorders>
              <w:bottom w:val="single" w:color="000000" w:sz="8" w:space="0"/>
              <w:right w:val="single" w:color="000000" w:sz="8" w:space="0"/>
            </w:tcBorders>
            <w:noWrap w:val="0"/>
            <w:tcMar>
              <w:top w:w="5" w:type="dxa"/>
              <w:left w:w="113" w:type="dxa"/>
              <w:bottom w:w="10" w:type="dxa"/>
              <w:right w:w="118" w:type="dxa"/>
            </w:tcMar>
            <w:vAlign w:val="center"/>
          </w:tcPr>
          <w:p>
            <w:pPr>
              <w:pStyle w:val="6"/>
              <w:widowControl/>
              <w:spacing w:before="0" w:after="0"/>
              <w:ind w:left="0" w:right="0"/>
              <w:jc w:val="center"/>
              <w:rPr>
                <w:rFonts w:ascii="Times New Roman" w:hAnsi="Times New Roman" w:eastAsia="Times New Roman" w:cs="Times New Roman"/>
                <w:b w:val="0"/>
                <w:bCs w:val="0"/>
                <w:i w:val="0"/>
                <w:iCs w:val="0"/>
                <w:smallCaps w:val="0"/>
                <w:color w:val="000000"/>
                <w:kern w:val="0"/>
                <w:sz w:val="21"/>
                <w:szCs w:val="21"/>
              </w:rPr>
            </w:pPr>
            <w:r>
              <w:rPr>
                <w:rFonts w:ascii="仿宋" w:hAnsi="仿宋" w:eastAsia="仿宋" w:cs="仿宋"/>
                <w:b w:val="0"/>
                <w:bCs w:val="0"/>
                <w:i w:val="0"/>
                <w:iCs w:val="0"/>
                <w:smallCaps w:val="0"/>
                <w:color w:val="000000"/>
                <w:kern w:val="0"/>
                <w:sz w:val="18"/>
                <w:szCs w:val="18"/>
              </w:rPr>
              <w:t>房屋构筑物</w:t>
            </w:r>
          </w:p>
        </w:tc>
        <w:tc>
          <w:tcPr>
            <w:tcW w:w="370" w:type="dxa"/>
            <w:tcBorders>
              <w:bottom w:val="single" w:color="000000" w:sz="8" w:space="0"/>
              <w:right w:val="single" w:color="000000" w:sz="8" w:space="0"/>
            </w:tcBorders>
            <w:noWrap w:val="0"/>
            <w:tcMar>
              <w:top w:w="5" w:type="dxa"/>
              <w:left w:w="113" w:type="dxa"/>
              <w:bottom w:w="10" w:type="dxa"/>
              <w:right w:w="118" w:type="dxa"/>
            </w:tcMar>
            <w:vAlign w:val="center"/>
          </w:tcPr>
          <w:p>
            <w:pPr>
              <w:pStyle w:val="6"/>
              <w:widowControl/>
              <w:spacing w:before="0" w:after="0"/>
              <w:ind w:left="0" w:right="0"/>
              <w:jc w:val="center"/>
              <w:rPr>
                <w:rFonts w:ascii="Times New Roman" w:hAnsi="Times New Roman" w:eastAsia="Times New Roman" w:cs="Times New Roman"/>
                <w:b w:val="0"/>
                <w:bCs w:val="0"/>
                <w:i w:val="0"/>
                <w:iCs w:val="0"/>
                <w:smallCaps w:val="0"/>
                <w:color w:val="000000"/>
                <w:kern w:val="0"/>
                <w:sz w:val="21"/>
                <w:szCs w:val="21"/>
              </w:rPr>
            </w:pPr>
            <w:r>
              <w:rPr>
                <w:rFonts w:ascii="仿宋" w:hAnsi="仿宋" w:eastAsia="仿宋" w:cs="仿宋"/>
                <w:b w:val="0"/>
                <w:bCs w:val="0"/>
                <w:i w:val="0"/>
                <w:iCs w:val="0"/>
                <w:smallCaps w:val="0"/>
                <w:color w:val="000000"/>
                <w:kern w:val="0"/>
                <w:sz w:val="18"/>
                <w:szCs w:val="18"/>
              </w:rPr>
              <w:t>车辆</w:t>
            </w:r>
          </w:p>
        </w:tc>
        <w:tc>
          <w:tcPr>
            <w:tcW w:w="1296" w:type="dxa"/>
            <w:tcBorders>
              <w:bottom w:val="single" w:color="000000" w:sz="8" w:space="0"/>
              <w:right w:val="single" w:color="000000" w:sz="8" w:space="0"/>
            </w:tcBorders>
            <w:noWrap w:val="0"/>
            <w:tcMar>
              <w:top w:w="5" w:type="dxa"/>
              <w:left w:w="113" w:type="dxa"/>
              <w:bottom w:w="10" w:type="dxa"/>
              <w:right w:w="118" w:type="dxa"/>
            </w:tcMar>
            <w:vAlign w:val="center"/>
          </w:tcPr>
          <w:p>
            <w:pPr>
              <w:pStyle w:val="6"/>
              <w:widowControl/>
              <w:spacing w:before="0" w:after="0"/>
              <w:ind w:left="0" w:right="0"/>
              <w:jc w:val="center"/>
              <w:rPr>
                <w:rFonts w:ascii="Times New Roman" w:hAnsi="Times New Roman" w:eastAsia="Times New Roman" w:cs="Times New Roman"/>
                <w:b w:val="0"/>
                <w:bCs w:val="0"/>
                <w:i w:val="0"/>
                <w:iCs w:val="0"/>
                <w:smallCaps w:val="0"/>
                <w:color w:val="000000"/>
                <w:kern w:val="0"/>
                <w:sz w:val="21"/>
                <w:szCs w:val="21"/>
              </w:rPr>
            </w:pPr>
            <w:r>
              <w:rPr>
                <w:rFonts w:ascii="仿宋" w:hAnsi="仿宋" w:eastAsia="仿宋" w:cs="仿宋"/>
                <w:b w:val="0"/>
                <w:bCs w:val="0"/>
                <w:i w:val="0"/>
                <w:iCs w:val="0"/>
                <w:smallCaps w:val="0"/>
                <w:color w:val="000000"/>
                <w:kern w:val="0"/>
                <w:sz w:val="18"/>
                <w:szCs w:val="18"/>
              </w:rPr>
              <w:t>单价200万以上大型设备</w:t>
            </w:r>
          </w:p>
        </w:tc>
        <w:tc>
          <w:tcPr>
            <w:tcW w:w="805" w:type="dxa"/>
            <w:tcBorders>
              <w:bottom w:val="single" w:color="000000" w:sz="8" w:space="0"/>
              <w:right w:val="single" w:color="000000" w:sz="8" w:space="0"/>
            </w:tcBorders>
            <w:noWrap w:val="0"/>
            <w:tcMar>
              <w:top w:w="5" w:type="dxa"/>
              <w:left w:w="113" w:type="dxa"/>
              <w:bottom w:w="10" w:type="dxa"/>
              <w:right w:w="118" w:type="dxa"/>
            </w:tcMar>
            <w:vAlign w:val="center"/>
          </w:tcPr>
          <w:p>
            <w:pPr>
              <w:pStyle w:val="6"/>
              <w:widowControl/>
              <w:spacing w:before="0" w:after="0"/>
              <w:ind w:left="0" w:right="0"/>
              <w:jc w:val="center"/>
              <w:rPr>
                <w:rFonts w:ascii="Times New Roman" w:hAnsi="Times New Roman" w:eastAsia="Times New Roman" w:cs="Times New Roman"/>
                <w:b w:val="0"/>
                <w:bCs w:val="0"/>
                <w:i w:val="0"/>
                <w:iCs w:val="0"/>
                <w:smallCaps w:val="0"/>
                <w:color w:val="000000"/>
                <w:kern w:val="0"/>
                <w:sz w:val="21"/>
                <w:szCs w:val="21"/>
              </w:rPr>
            </w:pPr>
            <w:r>
              <w:rPr>
                <w:rFonts w:ascii="仿宋" w:hAnsi="仿宋" w:eastAsia="仿宋" w:cs="仿宋"/>
                <w:b w:val="0"/>
                <w:bCs w:val="0"/>
                <w:i w:val="0"/>
                <w:iCs w:val="0"/>
                <w:smallCaps w:val="0"/>
                <w:color w:val="000000"/>
                <w:kern w:val="0"/>
                <w:sz w:val="18"/>
                <w:szCs w:val="18"/>
              </w:rPr>
              <w:t>其他固定资产</w:t>
            </w:r>
          </w:p>
        </w:tc>
        <w:tc>
          <w:tcPr>
            <w:tcW w:w="1078" w:type="dxa"/>
            <w:vMerge w:val="continue"/>
            <w:tcBorders>
              <w:bottom w:val="single" w:color="000000" w:sz="8" w:space="0"/>
              <w:right w:val="single" w:color="000000" w:sz="8" w:space="0"/>
            </w:tcBorders>
            <w:noWrap w:val="0"/>
            <w:vAlign w:val="center"/>
          </w:tcPr>
          <w:p>
            <w:pPr>
              <w:widowControl/>
              <w:jc w:val="left"/>
              <w:rPr>
                <w:rFonts w:ascii="仿宋" w:hAnsi="仿宋" w:eastAsia="仿宋" w:cs="仿宋"/>
                <w:b w:val="0"/>
                <w:bCs w:val="0"/>
                <w:i w:val="0"/>
                <w:iCs w:val="0"/>
                <w:smallCaps w:val="0"/>
                <w:color w:val="000000"/>
                <w:kern w:val="0"/>
                <w:sz w:val="18"/>
                <w:szCs w:val="18"/>
              </w:rPr>
            </w:pPr>
          </w:p>
        </w:tc>
        <w:tc>
          <w:tcPr>
            <w:tcW w:w="588" w:type="dxa"/>
            <w:vMerge w:val="continue"/>
            <w:tcBorders>
              <w:bottom w:val="single" w:color="000000" w:sz="8" w:space="0"/>
              <w:right w:val="single" w:color="000000" w:sz="8" w:space="0"/>
            </w:tcBorders>
            <w:noWrap w:val="0"/>
            <w:vAlign w:val="center"/>
          </w:tcPr>
          <w:p>
            <w:pPr>
              <w:widowControl/>
              <w:jc w:val="left"/>
              <w:rPr>
                <w:rFonts w:ascii="仿宋" w:hAnsi="仿宋" w:eastAsia="仿宋" w:cs="仿宋"/>
                <w:b w:val="0"/>
                <w:bCs w:val="0"/>
                <w:i w:val="0"/>
                <w:iCs w:val="0"/>
                <w:smallCaps w:val="0"/>
                <w:color w:val="000000"/>
                <w:kern w:val="0"/>
                <w:sz w:val="18"/>
                <w:szCs w:val="18"/>
              </w:rPr>
            </w:pPr>
          </w:p>
        </w:tc>
        <w:tc>
          <w:tcPr>
            <w:tcW w:w="588" w:type="dxa"/>
            <w:vMerge w:val="continue"/>
            <w:tcBorders>
              <w:bottom w:val="single" w:color="000000" w:sz="8" w:space="0"/>
              <w:right w:val="single" w:color="000000" w:sz="8" w:space="0"/>
            </w:tcBorders>
            <w:noWrap w:val="0"/>
            <w:vAlign w:val="center"/>
          </w:tcPr>
          <w:p>
            <w:pPr>
              <w:widowControl/>
              <w:jc w:val="left"/>
              <w:rPr>
                <w:rFonts w:ascii="仿宋" w:hAnsi="仿宋" w:eastAsia="仿宋" w:cs="仿宋"/>
                <w:b w:val="0"/>
                <w:bCs w:val="0"/>
                <w:i w:val="0"/>
                <w:iCs w:val="0"/>
                <w:smallCaps w:val="0"/>
                <w:color w:val="000000"/>
                <w:kern w:val="0"/>
                <w:sz w:val="18"/>
                <w:szCs w:val="18"/>
              </w:rPr>
            </w:pPr>
          </w:p>
        </w:tc>
        <w:tc>
          <w:tcPr>
            <w:tcW w:w="588" w:type="dxa"/>
            <w:vMerge w:val="continue"/>
            <w:tcBorders>
              <w:bottom w:val="single" w:color="000000" w:sz="8" w:space="0"/>
              <w:right w:val="single" w:color="000000" w:sz="8" w:space="0"/>
            </w:tcBorders>
            <w:noWrap w:val="0"/>
            <w:vAlign w:val="center"/>
          </w:tcPr>
          <w:p>
            <w:pPr>
              <w:widowControl/>
              <w:jc w:val="left"/>
              <w:rPr>
                <w:rFonts w:ascii="仿宋" w:hAnsi="仿宋" w:eastAsia="仿宋" w:cs="仿宋"/>
                <w:b w:val="0"/>
                <w:bCs w:val="0"/>
                <w:i w:val="0"/>
                <w:iCs w:val="0"/>
                <w:smallCaps w:val="0"/>
                <w:color w:val="000000"/>
                <w:kern w:val="0"/>
                <w:sz w:val="18"/>
                <w:szCs w:val="18"/>
              </w:rPr>
            </w:pPr>
          </w:p>
        </w:tc>
      </w:tr>
      <w:tr>
        <w:tblPrEx>
          <w:tblLayout w:type="fixed"/>
          <w:tblCellMar>
            <w:top w:w="15" w:type="dxa"/>
            <w:left w:w="15" w:type="dxa"/>
            <w:bottom w:w="15" w:type="dxa"/>
            <w:right w:w="15" w:type="dxa"/>
          </w:tblCellMar>
        </w:tblPrEx>
        <w:trPr>
          <w:trHeight w:val="432" w:hRule="atLeast"/>
        </w:trPr>
        <w:tc>
          <w:tcPr>
            <w:tcW w:w="384" w:type="dxa"/>
            <w:tcBorders>
              <w:left w:val="single" w:color="000000" w:sz="8" w:space="0"/>
              <w:bottom w:val="single" w:color="000000" w:sz="8" w:space="0"/>
              <w:right w:val="single" w:color="000000" w:sz="8" w:space="0"/>
            </w:tcBorders>
            <w:noWrap w:val="0"/>
            <w:tcMar>
              <w:top w:w="5" w:type="dxa"/>
              <w:left w:w="118" w:type="dxa"/>
              <w:bottom w:w="10" w:type="dxa"/>
              <w:right w:w="118" w:type="dxa"/>
            </w:tcMar>
            <w:vAlign w:val="center"/>
          </w:tcPr>
          <w:p>
            <w:pPr>
              <w:pStyle w:val="6"/>
              <w:widowControl/>
              <w:spacing w:before="0" w:after="0"/>
              <w:ind w:left="0" w:right="0"/>
              <w:jc w:val="center"/>
              <w:rPr>
                <w:rFonts w:ascii="Times New Roman" w:hAnsi="Times New Roman" w:eastAsia="Times New Roman" w:cs="Times New Roman"/>
                <w:b w:val="0"/>
                <w:bCs w:val="0"/>
                <w:i w:val="0"/>
                <w:iCs w:val="0"/>
                <w:smallCaps w:val="0"/>
                <w:color w:val="000000"/>
                <w:kern w:val="0"/>
                <w:sz w:val="21"/>
                <w:szCs w:val="21"/>
              </w:rPr>
            </w:pPr>
            <w:r>
              <w:rPr>
                <w:rFonts w:ascii="仿宋" w:hAnsi="仿宋" w:eastAsia="仿宋" w:cs="仿宋"/>
                <w:b w:val="0"/>
                <w:bCs w:val="0"/>
                <w:i w:val="0"/>
                <w:iCs w:val="0"/>
                <w:smallCaps w:val="0"/>
                <w:color w:val="000000"/>
                <w:kern w:val="0"/>
                <w:sz w:val="18"/>
                <w:szCs w:val="18"/>
              </w:rPr>
              <w:t>栏次</w:t>
            </w:r>
          </w:p>
        </w:tc>
        <w:tc>
          <w:tcPr>
            <w:tcW w:w="371" w:type="dxa"/>
            <w:tcBorders>
              <w:bottom w:val="single" w:color="000000" w:sz="8" w:space="0"/>
              <w:right w:val="single" w:color="000000" w:sz="8" w:space="0"/>
            </w:tcBorders>
            <w:noWrap w:val="0"/>
            <w:tcMar>
              <w:top w:w="5" w:type="dxa"/>
              <w:left w:w="113" w:type="dxa"/>
              <w:bottom w:w="10" w:type="dxa"/>
              <w:right w:w="118" w:type="dxa"/>
            </w:tcMar>
            <w:vAlign w:val="center"/>
          </w:tcPr>
          <w:p>
            <w:pPr>
              <w:pStyle w:val="6"/>
              <w:widowControl/>
              <w:spacing w:before="0" w:after="0"/>
              <w:ind w:left="0" w:right="0"/>
              <w:jc w:val="center"/>
              <w:rPr>
                <w:rFonts w:ascii="Times New Roman" w:hAnsi="Times New Roman" w:eastAsia="Times New Roman" w:cs="Times New Roman"/>
                <w:b w:val="0"/>
                <w:bCs w:val="0"/>
                <w:i w:val="0"/>
                <w:iCs w:val="0"/>
                <w:smallCaps w:val="0"/>
                <w:color w:val="000000"/>
                <w:kern w:val="0"/>
                <w:sz w:val="21"/>
                <w:szCs w:val="21"/>
              </w:rPr>
            </w:pPr>
            <w:r>
              <w:rPr>
                <w:rFonts w:ascii="Calibri" w:hAnsi="Calibri" w:eastAsia="Calibri" w:cs="Calibri"/>
                <w:b w:val="0"/>
                <w:bCs w:val="0"/>
                <w:i w:val="0"/>
                <w:iCs w:val="0"/>
                <w:smallCaps w:val="0"/>
                <w:color w:val="000000"/>
                <w:kern w:val="0"/>
                <w:sz w:val="18"/>
                <w:szCs w:val="18"/>
              </w:rPr>
              <w:t> </w:t>
            </w:r>
          </w:p>
        </w:tc>
        <w:tc>
          <w:tcPr>
            <w:tcW w:w="588" w:type="dxa"/>
            <w:tcBorders>
              <w:bottom w:val="single" w:color="000000" w:sz="8" w:space="0"/>
              <w:right w:val="single" w:color="000000" w:sz="8" w:space="0"/>
            </w:tcBorders>
            <w:noWrap w:val="0"/>
            <w:tcMar>
              <w:top w:w="5" w:type="dxa"/>
              <w:left w:w="113" w:type="dxa"/>
              <w:bottom w:w="10" w:type="dxa"/>
              <w:right w:w="118" w:type="dxa"/>
            </w:tcMar>
            <w:vAlign w:val="center"/>
          </w:tcPr>
          <w:p>
            <w:pPr>
              <w:pStyle w:val="6"/>
              <w:widowControl/>
              <w:spacing w:before="0" w:after="0"/>
              <w:ind w:left="0" w:right="0"/>
              <w:jc w:val="center"/>
              <w:rPr>
                <w:rFonts w:ascii="Times New Roman" w:hAnsi="Times New Roman" w:eastAsia="Times New Roman" w:cs="Times New Roman"/>
                <w:b w:val="0"/>
                <w:bCs w:val="0"/>
                <w:i w:val="0"/>
                <w:iCs w:val="0"/>
                <w:smallCaps w:val="0"/>
                <w:color w:val="000000"/>
                <w:kern w:val="0"/>
                <w:sz w:val="21"/>
                <w:szCs w:val="21"/>
              </w:rPr>
            </w:pPr>
            <w:r>
              <w:rPr>
                <w:rFonts w:ascii="仿宋" w:hAnsi="仿宋" w:eastAsia="仿宋" w:cs="仿宋"/>
                <w:b w:val="0"/>
                <w:bCs w:val="0"/>
                <w:i w:val="0"/>
                <w:iCs w:val="0"/>
                <w:smallCaps w:val="0"/>
                <w:color w:val="000000"/>
                <w:kern w:val="0"/>
                <w:sz w:val="18"/>
                <w:szCs w:val="18"/>
              </w:rPr>
              <w:t>1</w:t>
            </w:r>
          </w:p>
        </w:tc>
        <w:tc>
          <w:tcPr>
            <w:tcW w:w="588" w:type="dxa"/>
            <w:tcBorders>
              <w:bottom w:val="single" w:color="000000" w:sz="8" w:space="0"/>
              <w:right w:val="single" w:color="000000" w:sz="8" w:space="0"/>
            </w:tcBorders>
            <w:noWrap w:val="0"/>
            <w:tcMar>
              <w:top w:w="5" w:type="dxa"/>
              <w:left w:w="113" w:type="dxa"/>
              <w:bottom w:w="10" w:type="dxa"/>
              <w:right w:w="118" w:type="dxa"/>
            </w:tcMar>
            <w:vAlign w:val="center"/>
          </w:tcPr>
          <w:p>
            <w:pPr>
              <w:pStyle w:val="6"/>
              <w:widowControl/>
              <w:spacing w:before="0" w:after="0"/>
              <w:ind w:left="0" w:right="0"/>
              <w:jc w:val="center"/>
              <w:rPr>
                <w:rFonts w:ascii="Times New Roman" w:hAnsi="Times New Roman" w:eastAsia="Times New Roman" w:cs="Times New Roman"/>
                <w:b w:val="0"/>
                <w:bCs w:val="0"/>
                <w:i w:val="0"/>
                <w:iCs w:val="0"/>
                <w:smallCaps w:val="0"/>
                <w:color w:val="000000"/>
                <w:kern w:val="0"/>
                <w:sz w:val="21"/>
                <w:szCs w:val="21"/>
              </w:rPr>
            </w:pPr>
            <w:r>
              <w:rPr>
                <w:rFonts w:ascii="仿宋" w:hAnsi="仿宋" w:eastAsia="仿宋" w:cs="仿宋"/>
                <w:b w:val="0"/>
                <w:bCs w:val="0"/>
                <w:i w:val="0"/>
                <w:iCs w:val="0"/>
                <w:smallCaps w:val="0"/>
                <w:color w:val="000000"/>
                <w:kern w:val="0"/>
                <w:sz w:val="18"/>
                <w:szCs w:val="18"/>
              </w:rPr>
              <w:t>2</w:t>
            </w:r>
          </w:p>
        </w:tc>
        <w:tc>
          <w:tcPr>
            <w:tcW w:w="479" w:type="dxa"/>
            <w:tcBorders>
              <w:bottom w:val="single" w:color="000000" w:sz="8" w:space="0"/>
              <w:right w:val="single" w:color="000000" w:sz="8" w:space="0"/>
            </w:tcBorders>
            <w:noWrap w:val="0"/>
            <w:tcMar>
              <w:top w:w="5" w:type="dxa"/>
              <w:left w:w="113" w:type="dxa"/>
              <w:bottom w:w="10" w:type="dxa"/>
              <w:right w:w="118" w:type="dxa"/>
            </w:tcMar>
            <w:vAlign w:val="center"/>
          </w:tcPr>
          <w:p>
            <w:pPr>
              <w:pStyle w:val="6"/>
              <w:widowControl/>
              <w:spacing w:before="0" w:after="0"/>
              <w:ind w:left="0" w:right="0"/>
              <w:jc w:val="center"/>
              <w:rPr>
                <w:rFonts w:ascii="Times New Roman" w:hAnsi="Times New Roman" w:eastAsia="Times New Roman" w:cs="Times New Roman"/>
                <w:b w:val="0"/>
                <w:bCs w:val="0"/>
                <w:i w:val="0"/>
                <w:iCs w:val="0"/>
                <w:smallCaps w:val="0"/>
                <w:color w:val="000000"/>
                <w:kern w:val="0"/>
                <w:sz w:val="21"/>
                <w:szCs w:val="21"/>
              </w:rPr>
            </w:pPr>
            <w:r>
              <w:rPr>
                <w:rFonts w:ascii="仿宋" w:hAnsi="仿宋" w:eastAsia="仿宋" w:cs="仿宋"/>
                <w:b w:val="0"/>
                <w:bCs w:val="0"/>
                <w:i w:val="0"/>
                <w:iCs w:val="0"/>
                <w:smallCaps w:val="0"/>
                <w:color w:val="000000"/>
                <w:kern w:val="0"/>
                <w:sz w:val="18"/>
                <w:szCs w:val="18"/>
              </w:rPr>
              <w:t>3</w:t>
            </w:r>
          </w:p>
        </w:tc>
        <w:tc>
          <w:tcPr>
            <w:tcW w:w="697" w:type="dxa"/>
            <w:gridSpan w:val="2"/>
            <w:tcBorders>
              <w:bottom w:val="single" w:color="000000" w:sz="8" w:space="0"/>
              <w:right w:val="single" w:color="000000" w:sz="8" w:space="0"/>
            </w:tcBorders>
            <w:noWrap w:val="0"/>
            <w:tcMar>
              <w:top w:w="5" w:type="dxa"/>
              <w:left w:w="113" w:type="dxa"/>
              <w:bottom w:w="10" w:type="dxa"/>
              <w:right w:w="118" w:type="dxa"/>
            </w:tcMar>
            <w:vAlign w:val="center"/>
          </w:tcPr>
          <w:p>
            <w:pPr>
              <w:pStyle w:val="6"/>
              <w:widowControl/>
              <w:spacing w:before="0" w:after="0"/>
              <w:ind w:left="0" w:right="0"/>
              <w:jc w:val="center"/>
              <w:rPr>
                <w:rFonts w:ascii="Times New Roman" w:hAnsi="Times New Roman" w:eastAsia="Times New Roman" w:cs="Times New Roman"/>
                <w:b w:val="0"/>
                <w:bCs w:val="0"/>
                <w:i w:val="0"/>
                <w:iCs w:val="0"/>
                <w:smallCaps w:val="0"/>
                <w:color w:val="000000"/>
                <w:kern w:val="0"/>
                <w:sz w:val="21"/>
                <w:szCs w:val="21"/>
              </w:rPr>
            </w:pPr>
            <w:r>
              <w:rPr>
                <w:rFonts w:ascii="仿宋" w:hAnsi="仿宋" w:eastAsia="仿宋" w:cs="仿宋"/>
                <w:b w:val="0"/>
                <w:bCs w:val="0"/>
                <w:i w:val="0"/>
                <w:iCs w:val="0"/>
                <w:smallCaps w:val="0"/>
                <w:color w:val="000000"/>
                <w:kern w:val="0"/>
                <w:sz w:val="18"/>
                <w:szCs w:val="18"/>
              </w:rPr>
              <w:t>4</w:t>
            </w:r>
          </w:p>
        </w:tc>
        <w:tc>
          <w:tcPr>
            <w:tcW w:w="370" w:type="dxa"/>
            <w:tcBorders>
              <w:bottom w:val="single" w:color="000000" w:sz="8" w:space="0"/>
              <w:right w:val="single" w:color="000000" w:sz="8" w:space="0"/>
            </w:tcBorders>
            <w:noWrap w:val="0"/>
            <w:tcMar>
              <w:top w:w="5" w:type="dxa"/>
              <w:left w:w="113" w:type="dxa"/>
              <w:bottom w:w="10" w:type="dxa"/>
              <w:right w:w="118" w:type="dxa"/>
            </w:tcMar>
            <w:vAlign w:val="center"/>
          </w:tcPr>
          <w:p>
            <w:pPr>
              <w:pStyle w:val="6"/>
              <w:widowControl/>
              <w:spacing w:before="0" w:after="0"/>
              <w:ind w:left="0" w:right="0"/>
              <w:jc w:val="center"/>
              <w:rPr>
                <w:rFonts w:ascii="Times New Roman" w:hAnsi="Times New Roman" w:eastAsia="Times New Roman" w:cs="Times New Roman"/>
                <w:b w:val="0"/>
                <w:bCs w:val="0"/>
                <w:i w:val="0"/>
                <w:iCs w:val="0"/>
                <w:smallCaps w:val="0"/>
                <w:color w:val="000000"/>
                <w:kern w:val="0"/>
                <w:sz w:val="21"/>
                <w:szCs w:val="21"/>
              </w:rPr>
            </w:pPr>
            <w:r>
              <w:rPr>
                <w:rFonts w:ascii="仿宋" w:hAnsi="仿宋" w:eastAsia="仿宋" w:cs="仿宋"/>
                <w:b w:val="0"/>
                <w:bCs w:val="0"/>
                <w:i w:val="0"/>
                <w:iCs w:val="0"/>
                <w:smallCaps w:val="0"/>
                <w:color w:val="000000"/>
                <w:kern w:val="0"/>
                <w:sz w:val="18"/>
                <w:szCs w:val="18"/>
              </w:rPr>
              <w:t>5</w:t>
            </w:r>
          </w:p>
        </w:tc>
        <w:tc>
          <w:tcPr>
            <w:tcW w:w="1296" w:type="dxa"/>
            <w:tcBorders>
              <w:bottom w:val="single" w:color="000000" w:sz="8" w:space="0"/>
              <w:right w:val="single" w:color="000000" w:sz="8" w:space="0"/>
            </w:tcBorders>
            <w:noWrap w:val="0"/>
            <w:tcMar>
              <w:top w:w="5" w:type="dxa"/>
              <w:left w:w="113" w:type="dxa"/>
              <w:bottom w:w="10" w:type="dxa"/>
              <w:right w:w="118" w:type="dxa"/>
            </w:tcMar>
            <w:vAlign w:val="center"/>
          </w:tcPr>
          <w:p>
            <w:pPr>
              <w:pStyle w:val="6"/>
              <w:widowControl/>
              <w:spacing w:before="0" w:after="0"/>
              <w:ind w:left="0" w:right="0"/>
              <w:jc w:val="center"/>
              <w:rPr>
                <w:rFonts w:ascii="Times New Roman" w:hAnsi="Times New Roman" w:eastAsia="Times New Roman" w:cs="Times New Roman"/>
                <w:b w:val="0"/>
                <w:bCs w:val="0"/>
                <w:i w:val="0"/>
                <w:iCs w:val="0"/>
                <w:smallCaps w:val="0"/>
                <w:color w:val="000000"/>
                <w:kern w:val="0"/>
                <w:sz w:val="21"/>
                <w:szCs w:val="21"/>
              </w:rPr>
            </w:pPr>
            <w:r>
              <w:rPr>
                <w:rFonts w:ascii="仿宋" w:hAnsi="仿宋" w:eastAsia="仿宋" w:cs="仿宋"/>
                <w:b w:val="0"/>
                <w:bCs w:val="0"/>
                <w:i w:val="0"/>
                <w:iCs w:val="0"/>
                <w:smallCaps w:val="0"/>
                <w:color w:val="000000"/>
                <w:kern w:val="0"/>
                <w:sz w:val="18"/>
                <w:szCs w:val="18"/>
              </w:rPr>
              <w:t>6</w:t>
            </w:r>
          </w:p>
        </w:tc>
        <w:tc>
          <w:tcPr>
            <w:tcW w:w="805" w:type="dxa"/>
            <w:tcBorders>
              <w:bottom w:val="single" w:color="000000" w:sz="8" w:space="0"/>
              <w:right w:val="single" w:color="000000" w:sz="8" w:space="0"/>
            </w:tcBorders>
            <w:noWrap w:val="0"/>
            <w:tcMar>
              <w:top w:w="5" w:type="dxa"/>
              <w:left w:w="113" w:type="dxa"/>
              <w:bottom w:w="10" w:type="dxa"/>
              <w:right w:w="118" w:type="dxa"/>
            </w:tcMar>
            <w:vAlign w:val="center"/>
          </w:tcPr>
          <w:p>
            <w:pPr>
              <w:pStyle w:val="6"/>
              <w:widowControl/>
              <w:spacing w:before="0" w:after="0"/>
              <w:ind w:left="0" w:right="0"/>
              <w:jc w:val="center"/>
              <w:rPr>
                <w:rFonts w:ascii="Times New Roman" w:hAnsi="Times New Roman" w:eastAsia="Times New Roman" w:cs="Times New Roman"/>
                <w:b w:val="0"/>
                <w:bCs w:val="0"/>
                <w:i w:val="0"/>
                <w:iCs w:val="0"/>
                <w:smallCaps w:val="0"/>
                <w:color w:val="000000"/>
                <w:kern w:val="0"/>
                <w:sz w:val="21"/>
                <w:szCs w:val="21"/>
              </w:rPr>
            </w:pPr>
            <w:r>
              <w:rPr>
                <w:rFonts w:ascii="仿宋" w:hAnsi="仿宋" w:eastAsia="仿宋" w:cs="仿宋"/>
                <w:b w:val="0"/>
                <w:bCs w:val="0"/>
                <w:i w:val="0"/>
                <w:iCs w:val="0"/>
                <w:smallCaps w:val="0"/>
                <w:color w:val="000000"/>
                <w:kern w:val="0"/>
                <w:sz w:val="18"/>
                <w:szCs w:val="18"/>
              </w:rPr>
              <w:t>7</w:t>
            </w:r>
          </w:p>
        </w:tc>
        <w:tc>
          <w:tcPr>
            <w:tcW w:w="1078" w:type="dxa"/>
            <w:tcBorders>
              <w:bottom w:val="single" w:color="000000" w:sz="8" w:space="0"/>
              <w:right w:val="single" w:color="000000" w:sz="8" w:space="0"/>
            </w:tcBorders>
            <w:noWrap w:val="0"/>
            <w:tcMar>
              <w:top w:w="5" w:type="dxa"/>
              <w:left w:w="113" w:type="dxa"/>
              <w:bottom w:w="10" w:type="dxa"/>
              <w:right w:w="118" w:type="dxa"/>
            </w:tcMar>
            <w:vAlign w:val="center"/>
          </w:tcPr>
          <w:p>
            <w:pPr>
              <w:pStyle w:val="6"/>
              <w:widowControl/>
              <w:spacing w:before="0" w:after="0"/>
              <w:ind w:left="0" w:right="0"/>
              <w:jc w:val="center"/>
              <w:rPr>
                <w:rFonts w:ascii="Times New Roman" w:hAnsi="Times New Roman" w:eastAsia="Times New Roman" w:cs="Times New Roman"/>
                <w:b w:val="0"/>
                <w:bCs w:val="0"/>
                <w:i w:val="0"/>
                <w:iCs w:val="0"/>
                <w:smallCaps w:val="0"/>
                <w:color w:val="000000"/>
                <w:kern w:val="0"/>
                <w:sz w:val="21"/>
                <w:szCs w:val="21"/>
              </w:rPr>
            </w:pPr>
            <w:r>
              <w:rPr>
                <w:rFonts w:ascii="仿宋" w:hAnsi="仿宋" w:eastAsia="仿宋" w:cs="仿宋"/>
                <w:b w:val="0"/>
                <w:bCs w:val="0"/>
                <w:i w:val="0"/>
                <w:iCs w:val="0"/>
                <w:smallCaps w:val="0"/>
                <w:color w:val="000000"/>
                <w:kern w:val="0"/>
                <w:sz w:val="18"/>
                <w:szCs w:val="18"/>
              </w:rPr>
              <w:t>8</w:t>
            </w:r>
          </w:p>
        </w:tc>
        <w:tc>
          <w:tcPr>
            <w:tcW w:w="588" w:type="dxa"/>
            <w:tcBorders>
              <w:bottom w:val="single" w:color="000000" w:sz="8" w:space="0"/>
              <w:right w:val="single" w:color="000000" w:sz="8" w:space="0"/>
            </w:tcBorders>
            <w:noWrap w:val="0"/>
            <w:tcMar>
              <w:top w:w="5" w:type="dxa"/>
              <w:left w:w="113" w:type="dxa"/>
              <w:bottom w:w="10" w:type="dxa"/>
              <w:right w:w="118" w:type="dxa"/>
            </w:tcMar>
            <w:vAlign w:val="center"/>
          </w:tcPr>
          <w:p>
            <w:pPr>
              <w:pStyle w:val="6"/>
              <w:widowControl/>
              <w:spacing w:before="0" w:after="0"/>
              <w:ind w:left="0" w:right="0"/>
              <w:jc w:val="center"/>
              <w:rPr>
                <w:rFonts w:ascii="Times New Roman" w:hAnsi="Times New Roman" w:eastAsia="Times New Roman" w:cs="Times New Roman"/>
                <w:b w:val="0"/>
                <w:bCs w:val="0"/>
                <w:i w:val="0"/>
                <w:iCs w:val="0"/>
                <w:smallCaps w:val="0"/>
                <w:color w:val="000000"/>
                <w:kern w:val="0"/>
                <w:sz w:val="21"/>
                <w:szCs w:val="21"/>
              </w:rPr>
            </w:pPr>
            <w:r>
              <w:rPr>
                <w:rFonts w:ascii="仿宋" w:hAnsi="仿宋" w:eastAsia="仿宋" w:cs="仿宋"/>
                <w:b w:val="0"/>
                <w:bCs w:val="0"/>
                <w:i w:val="0"/>
                <w:iCs w:val="0"/>
                <w:smallCaps w:val="0"/>
                <w:color w:val="000000"/>
                <w:kern w:val="0"/>
                <w:sz w:val="18"/>
                <w:szCs w:val="18"/>
              </w:rPr>
              <w:t>9</w:t>
            </w:r>
          </w:p>
        </w:tc>
        <w:tc>
          <w:tcPr>
            <w:tcW w:w="588" w:type="dxa"/>
            <w:tcBorders>
              <w:bottom w:val="single" w:color="000000" w:sz="8" w:space="0"/>
              <w:right w:val="single" w:color="000000" w:sz="8" w:space="0"/>
            </w:tcBorders>
            <w:noWrap w:val="0"/>
            <w:tcMar>
              <w:top w:w="5" w:type="dxa"/>
              <w:left w:w="113" w:type="dxa"/>
              <w:bottom w:w="10" w:type="dxa"/>
              <w:right w:w="118" w:type="dxa"/>
            </w:tcMar>
            <w:vAlign w:val="center"/>
          </w:tcPr>
          <w:p>
            <w:pPr>
              <w:pStyle w:val="6"/>
              <w:widowControl/>
              <w:spacing w:before="0" w:after="0"/>
              <w:ind w:left="0" w:right="0"/>
              <w:jc w:val="center"/>
              <w:rPr>
                <w:rFonts w:ascii="Times New Roman" w:hAnsi="Times New Roman" w:eastAsia="Times New Roman" w:cs="Times New Roman"/>
                <w:b w:val="0"/>
                <w:bCs w:val="0"/>
                <w:i w:val="0"/>
                <w:iCs w:val="0"/>
                <w:smallCaps w:val="0"/>
                <w:color w:val="000000"/>
                <w:kern w:val="0"/>
                <w:sz w:val="21"/>
                <w:szCs w:val="21"/>
              </w:rPr>
            </w:pPr>
            <w:r>
              <w:rPr>
                <w:rFonts w:ascii="仿宋" w:hAnsi="仿宋" w:eastAsia="仿宋" w:cs="仿宋"/>
                <w:b w:val="0"/>
                <w:bCs w:val="0"/>
                <w:i w:val="0"/>
                <w:iCs w:val="0"/>
                <w:smallCaps w:val="0"/>
                <w:color w:val="000000"/>
                <w:kern w:val="0"/>
                <w:sz w:val="18"/>
                <w:szCs w:val="18"/>
              </w:rPr>
              <w:t>10</w:t>
            </w:r>
          </w:p>
        </w:tc>
        <w:tc>
          <w:tcPr>
            <w:tcW w:w="588" w:type="dxa"/>
            <w:tcBorders>
              <w:bottom w:val="single" w:color="000000" w:sz="8" w:space="0"/>
              <w:right w:val="single" w:color="000000" w:sz="8" w:space="0"/>
            </w:tcBorders>
            <w:noWrap w:val="0"/>
            <w:tcMar>
              <w:top w:w="5" w:type="dxa"/>
              <w:left w:w="113" w:type="dxa"/>
              <w:bottom w:w="10" w:type="dxa"/>
              <w:right w:w="118" w:type="dxa"/>
            </w:tcMar>
            <w:vAlign w:val="center"/>
          </w:tcPr>
          <w:p>
            <w:pPr>
              <w:pStyle w:val="6"/>
              <w:widowControl/>
              <w:spacing w:before="0" w:after="0"/>
              <w:ind w:left="0" w:right="0"/>
              <w:jc w:val="center"/>
              <w:rPr>
                <w:rFonts w:ascii="Times New Roman" w:hAnsi="Times New Roman" w:eastAsia="Times New Roman" w:cs="Times New Roman"/>
                <w:b w:val="0"/>
                <w:bCs w:val="0"/>
                <w:i w:val="0"/>
                <w:iCs w:val="0"/>
                <w:smallCaps w:val="0"/>
                <w:color w:val="000000"/>
                <w:kern w:val="0"/>
                <w:sz w:val="21"/>
                <w:szCs w:val="21"/>
              </w:rPr>
            </w:pPr>
            <w:r>
              <w:rPr>
                <w:rFonts w:ascii="仿宋" w:hAnsi="仿宋" w:eastAsia="仿宋" w:cs="仿宋"/>
                <w:b w:val="0"/>
                <w:bCs w:val="0"/>
                <w:i w:val="0"/>
                <w:iCs w:val="0"/>
                <w:smallCaps w:val="0"/>
                <w:color w:val="000000"/>
                <w:kern w:val="0"/>
                <w:sz w:val="18"/>
                <w:szCs w:val="18"/>
              </w:rPr>
              <w:t>11</w:t>
            </w:r>
          </w:p>
        </w:tc>
      </w:tr>
      <w:tr>
        <w:tblPrEx>
          <w:tblLayout w:type="fixed"/>
          <w:tblCellMar>
            <w:top w:w="15" w:type="dxa"/>
            <w:left w:w="15" w:type="dxa"/>
            <w:bottom w:w="15" w:type="dxa"/>
            <w:right w:w="15" w:type="dxa"/>
          </w:tblCellMar>
        </w:tblPrEx>
        <w:trPr>
          <w:trHeight w:val="432" w:hRule="atLeast"/>
        </w:trPr>
        <w:tc>
          <w:tcPr>
            <w:tcW w:w="384" w:type="dxa"/>
            <w:tcBorders>
              <w:left w:val="single" w:color="000000" w:sz="8" w:space="0"/>
              <w:bottom w:val="single" w:color="000000" w:sz="8" w:space="0"/>
              <w:right w:val="single" w:color="000000" w:sz="8" w:space="0"/>
            </w:tcBorders>
            <w:noWrap w:val="0"/>
            <w:tcMar>
              <w:top w:w="5" w:type="dxa"/>
              <w:left w:w="118" w:type="dxa"/>
              <w:bottom w:w="10" w:type="dxa"/>
              <w:right w:w="118" w:type="dxa"/>
            </w:tcMar>
            <w:vAlign w:val="center"/>
          </w:tcPr>
          <w:p>
            <w:pPr>
              <w:pStyle w:val="6"/>
              <w:widowControl/>
              <w:spacing w:before="0" w:after="0"/>
              <w:ind w:left="0" w:right="0"/>
              <w:jc w:val="center"/>
              <w:rPr>
                <w:rFonts w:ascii="Times New Roman" w:hAnsi="Times New Roman" w:eastAsia="Times New Roman" w:cs="Times New Roman"/>
                <w:b w:val="0"/>
                <w:bCs w:val="0"/>
                <w:i w:val="0"/>
                <w:iCs w:val="0"/>
                <w:smallCaps w:val="0"/>
                <w:color w:val="000000"/>
                <w:kern w:val="0"/>
                <w:sz w:val="21"/>
                <w:szCs w:val="21"/>
              </w:rPr>
            </w:pPr>
            <w:r>
              <w:rPr>
                <w:rFonts w:ascii="仿宋" w:hAnsi="仿宋" w:eastAsia="仿宋" w:cs="仿宋"/>
                <w:b w:val="0"/>
                <w:bCs w:val="0"/>
                <w:i w:val="0"/>
                <w:iCs w:val="0"/>
                <w:smallCaps w:val="0"/>
                <w:color w:val="000000"/>
                <w:kern w:val="0"/>
                <w:sz w:val="18"/>
                <w:szCs w:val="18"/>
              </w:rPr>
              <w:t>合计</w:t>
            </w:r>
          </w:p>
        </w:tc>
        <w:tc>
          <w:tcPr>
            <w:tcW w:w="371" w:type="dxa"/>
            <w:tcBorders>
              <w:bottom w:val="single" w:color="000000" w:sz="8" w:space="0"/>
              <w:right w:val="single" w:color="000000" w:sz="8" w:space="0"/>
            </w:tcBorders>
            <w:noWrap w:val="0"/>
            <w:tcMar>
              <w:top w:w="5" w:type="dxa"/>
              <w:left w:w="113" w:type="dxa"/>
              <w:bottom w:w="10" w:type="dxa"/>
              <w:right w:w="118" w:type="dxa"/>
            </w:tcMar>
            <w:vAlign w:val="center"/>
          </w:tcPr>
          <w:p>
            <w:pPr>
              <w:pStyle w:val="6"/>
              <w:widowControl/>
              <w:spacing w:before="0" w:after="0"/>
              <w:ind w:left="0" w:right="0"/>
              <w:jc w:val="center"/>
              <w:rPr>
                <w:rFonts w:ascii="Times New Roman" w:hAnsi="Times New Roman" w:eastAsia="Times New Roman" w:cs="Times New Roman"/>
                <w:b w:val="0"/>
                <w:bCs w:val="0"/>
                <w:i w:val="0"/>
                <w:iCs w:val="0"/>
                <w:smallCaps w:val="0"/>
                <w:color w:val="000000"/>
                <w:kern w:val="0"/>
                <w:sz w:val="21"/>
                <w:szCs w:val="21"/>
              </w:rPr>
            </w:pPr>
            <w:r>
              <w:rPr>
                <w:rFonts w:ascii="仿宋" w:hAnsi="仿宋" w:eastAsia="仿宋" w:cs="仿宋"/>
                <w:b w:val="0"/>
                <w:bCs w:val="0"/>
                <w:i w:val="0"/>
                <w:iCs w:val="0"/>
                <w:smallCaps w:val="0"/>
                <w:color w:val="000000"/>
                <w:kern w:val="0"/>
                <w:sz w:val="18"/>
                <w:szCs w:val="18"/>
              </w:rPr>
              <w:t>1</w:t>
            </w:r>
          </w:p>
        </w:tc>
        <w:tc>
          <w:tcPr>
            <w:tcW w:w="588" w:type="dxa"/>
            <w:tcBorders>
              <w:bottom w:val="single" w:color="000000" w:sz="8" w:space="0"/>
              <w:right w:val="single" w:color="000000" w:sz="8" w:space="0"/>
            </w:tcBorders>
            <w:noWrap w:val="0"/>
            <w:tcMar>
              <w:top w:w="5" w:type="dxa"/>
              <w:left w:w="113" w:type="dxa"/>
              <w:bottom w:w="10" w:type="dxa"/>
              <w:right w:w="118" w:type="dxa"/>
            </w:tcMar>
            <w:vAlign w:val="center"/>
          </w:tcPr>
          <w:p>
            <w:pPr>
              <w:pStyle w:val="6"/>
              <w:widowControl/>
              <w:spacing w:before="0" w:after="0"/>
              <w:ind w:left="0" w:right="0"/>
              <w:jc w:val="center"/>
              <w:rPr>
                <w:rFonts w:hint="default" w:ascii="仿宋" w:hAnsi="仿宋" w:eastAsia="仿宋" w:cs="仿宋"/>
                <w:b w:val="0"/>
                <w:bCs w:val="0"/>
                <w:i w:val="0"/>
                <w:iCs w:val="0"/>
                <w:smallCaps w:val="0"/>
                <w:color w:val="000000"/>
                <w:kern w:val="0"/>
                <w:sz w:val="18"/>
                <w:szCs w:val="18"/>
                <w:lang w:val="en-US" w:eastAsia="zh-CN"/>
              </w:rPr>
            </w:pPr>
            <w:r>
              <w:rPr>
                <w:rFonts w:hint="eastAsia" w:ascii="仿宋" w:hAnsi="仿宋" w:eastAsia="仿宋" w:cs="仿宋"/>
                <w:b w:val="0"/>
                <w:bCs w:val="0"/>
                <w:i w:val="0"/>
                <w:iCs w:val="0"/>
                <w:smallCaps w:val="0"/>
                <w:color w:val="000000"/>
                <w:kern w:val="0"/>
                <w:sz w:val="18"/>
                <w:szCs w:val="18"/>
                <w:lang w:val="en-US" w:eastAsia="zh-CN"/>
              </w:rPr>
              <w:t>504.01</w:t>
            </w:r>
          </w:p>
        </w:tc>
        <w:tc>
          <w:tcPr>
            <w:tcW w:w="588" w:type="dxa"/>
            <w:tcBorders>
              <w:bottom w:val="single" w:color="000000" w:sz="8" w:space="0"/>
              <w:right w:val="single" w:color="000000" w:sz="8" w:space="0"/>
            </w:tcBorders>
            <w:noWrap w:val="0"/>
            <w:tcMar>
              <w:top w:w="5" w:type="dxa"/>
              <w:left w:w="113" w:type="dxa"/>
              <w:bottom w:w="10" w:type="dxa"/>
              <w:right w:w="118" w:type="dxa"/>
            </w:tcMar>
            <w:vAlign w:val="center"/>
          </w:tcPr>
          <w:p>
            <w:pPr>
              <w:pStyle w:val="6"/>
              <w:widowControl/>
              <w:spacing w:before="0" w:after="0"/>
              <w:ind w:left="0" w:right="0"/>
              <w:jc w:val="center"/>
              <w:rPr>
                <w:rFonts w:hint="default" w:ascii="仿宋" w:hAnsi="仿宋" w:eastAsia="仿宋" w:cs="仿宋"/>
                <w:b w:val="0"/>
                <w:bCs w:val="0"/>
                <w:i w:val="0"/>
                <w:iCs w:val="0"/>
                <w:smallCaps w:val="0"/>
                <w:color w:val="000000"/>
                <w:kern w:val="0"/>
                <w:sz w:val="18"/>
                <w:szCs w:val="18"/>
                <w:lang w:val="en-US" w:eastAsia="zh-CN"/>
              </w:rPr>
            </w:pPr>
            <w:r>
              <w:rPr>
                <w:rFonts w:hint="eastAsia" w:ascii="仿宋" w:hAnsi="仿宋" w:eastAsia="仿宋" w:cs="仿宋"/>
                <w:b w:val="0"/>
                <w:bCs w:val="0"/>
                <w:i w:val="0"/>
                <w:iCs w:val="0"/>
                <w:smallCaps w:val="0"/>
                <w:color w:val="000000"/>
                <w:kern w:val="0"/>
                <w:sz w:val="18"/>
                <w:szCs w:val="18"/>
                <w:lang w:val="en-US" w:eastAsia="zh-CN"/>
              </w:rPr>
              <w:t>151.72</w:t>
            </w:r>
          </w:p>
        </w:tc>
        <w:tc>
          <w:tcPr>
            <w:tcW w:w="479" w:type="dxa"/>
            <w:tcBorders>
              <w:bottom w:val="single" w:color="000000" w:sz="8" w:space="0"/>
              <w:right w:val="single" w:color="000000" w:sz="8" w:space="0"/>
            </w:tcBorders>
            <w:noWrap w:val="0"/>
            <w:tcMar>
              <w:top w:w="5" w:type="dxa"/>
              <w:left w:w="113" w:type="dxa"/>
              <w:bottom w:w="10" w:type="dxa"/>
              <w:right w:w="118" w:type="dxa"/>
            </w:tcMar>
            <w:vAlign w:val="center"/>
          </w:tcPr>
          <w:p>
            <w:pPr>
              <w:pStyle w:val="6"/>
              <w:widowControl/>
              <w:spacing w:before="0" w:after="0"/>
              <w:ind w:left="0" w:right="0"/>
              <w:jc w:val="center"/>
              <w:rPr>
                <w:rFonts w:hint="default" w:ascii="Times New Roman" w:hAnsi="Times New Roman" w:eastAsia="宋体" w:cs="Times New Roman"/>
                <w:b w:val="0"/>
                <w:bCs w:val="0"/>
                <w:i w:val="0"/>
                <w:iCs w:val="0"/>
                <w:smallCaps w:val="0"/>
                <w:color w:val="000000"/>
                <w:kern w:val="0"/>
                <w:sz w:val="21"/>
                <w:szCs w:val="21"/>
                <w:lang w:val="en-US" w:eastAsia="zh-CN"/>
              </w:rPr>
            </w:pPr>
            <w:r>
              <w:rPr>
                <w:rFonts w:hint="eastAsia" w:ascii="仿宋" w:hAnsi="仿宋" w:eastAsia="仿宋" w:cs="仿宋"/>
                <w:b w:val="0"/>
                <w:bCs w:val="0"/>
                <w:i w:val="0"/>
                <w:iCs w:val="0"/>
                <w:smallCaps w:val="0"/>
                <w:color w:val="000000"/>
                <w:kern w:val="0"/>
                <w:sz w:val="18"/>
                <w:szCs w:val="18"/>
                <w:lang w:val="en-US" w:eastAsia="zh-CN"/>
              </w:rPr>
              <w:t>352.29</w:t>
            </w:r>
          </w:p>
        </w:tc>
        <w:tc>
          <w:tcPr>
            <w:tcW w:w="697" w:type="dxa"/>
            <w:gridSpan w:val="2"/>
            <w:tcBorders>
              <w:bottom w:val="single" w:color="000000" w:sz="8" w:space="0"/>
              <w:right w:val="single" w:color="000000" w:sz="8" w:space="0"/>
            </w:tcBorders>
            <w:noWrap w:val="0"/>
            <w:tcMar>
              <w:top w:w="5" w:type="dxa"/>
              <w:left w:w="113" w:type="dxa"/>
              <w:bottom w:w="10" w:type="dxa"/>
              <w:right w:w="118" w:type="dxa"/>
            </w:tcMar>
            <w:vAlign w:val="center"/>
          </w:tcPr>
          <w:p>
            <w:pPr>
              <w:pStyle w:val="6"/>
              <w:widowControl/>
              <w:spacing w:before="0" w:after="0"/>
              <w:ind w:left="0" w:right="0"/>
              <w:jc w:val="center"/>
              <w:rPr>
                <w:rFonts w:ascii="Times New Roman" w:hAnsi="Times New Roman" w:eastAsia="Times New Roman" w:cs="Times New Roman"/>
                <w:b w:val="0"/>
                <w:bCs w:val="0"/>
                <w:i w:val="0"/>
                <w:iCs w:val="0"/>
                <w:smallCaps w:val="0"/>
                <w:color w:val="000000"/>
                <w:kern w:val="0"/>
                <w:sz w:val="21"/>
                <w:szCs w:val="21"/>
              </w:rPr>
            </w:pPr>
          </w:p>
        </w:tc>
        <w:tc>
          <w:tcPr>
            <w:tcW w:w="370" w:type="dxa"/>
            <w:tcBorders>
              <w:bottom w:val="single" w:color="000000" w:sz="8" w:space="0"/>
              <w:right w:val="single" w:color="000000" w:sz="8" w:space="0"/>
            </w:tcBorders>
            <w:noWrap w:val="0"/>
            <w:tcMar>
              <w:top w:w="5" w:type="dxa"/>
              <w:left w:w="113" w:type="dxa"/>
              <w:bottom w:w="10" w:type="dxa"/>
              <w:right w:w="118" w:type="dxa"/>
            </w:tcMar>
            <w:vAlign w:val="center"/>
          </w:tcPr>
          <w:p>
            <w:pPr>
              <w:pStyle w:val="6"/>
              <w:widowControl/>
              <w:spacing w:before="0" w:after="0"/>
              <w:ind w:left="0" w:right="0"/>
              <w:jc w:val="center"/>
              <w:rPr>
                <w:rFonts w:ascii="Times New Roman" w:hAnsi="Times New Roman" w:eastAsia="Times New Roman" w:cs="Times New Roman"/>
                <w:b w:val="0"/>
                <w:bCs w:val="0"/>
                <w:i w:val="0"/>
                <w:iCs w:val="0"/>
                <w:smallCaps w:val="0"/>
                <w:color w:val="000000"/>
                <w:kern w:val="0"/>
                <w:sz w:val="21"/>
                <w:szCs w:val="21"/>
              </w:rPr>
            </w:pPr>
            <w:r>
              <w:rPr>
                <w:rFonts w:ascii="Calibri" w:hAnsi="Calibri" w:eastAsia="Calibri" w:cs="Calibri"/>
                <w:b w:val="0"/>
                <w:bCs w:val="0"/>
                <w:i w:val="0"/>
                <w:iCs w:val="0"/>
                <w:smallCaps w:val="0"/>
                <w:color w:val="000000"/>
                <w:kern w:val="0"/>
                <w:sz w:val="18"/>
                <w:szCs w:val="18"/>
              </w:rPr>
              <w:t> </w:t>
            </w:r>
          </w:p>
        </w:tc>
        <w:tc>
          <w:tcPr>
            <w:tcW w:w="1296" w:type="dxa"/>
            <w:tcBorders>
              <w:bottom w:val="single" w:color="000000" w:sz="8" w:space="0"/>
              <w:right w:val="single" w:color="000000" w:sz="8" w:space="0"/>
            </w:tcBorders>
            <w:noWrap w:val="0"/>
            <w:tcMar>
              <w:top w:w="5" w:type="dxa"/>
              <w:left w:w="113" w:type="dxa"/>
              <w:bottom w:w="10" w:type="dxa"/>
              <w:right w:w="118" w:type="dxa"/>
            </w:tcMar>
            <w:vAlign w:val="center"/>
          </w:tcPr>
          <w:p>
            <w:pPr>
              <w:pStyle w:val="6"/>
              <w:widowControl/>
              <w:spacing w:before="0" w:after="0"/>
              <w:ind w:left="0" w:right="0"/>
              <w:jc w:val="center"/>
              <w:rPr>
                <w:rFonts w:ascii="Times New Roman" w:hAnsi="Times New Roman" w:eastAsia="Times New Roman" w:cs="Times New Roman"/>
                <w:b w:val="0"/>
                <w:bCs w:val="0"/>
                <w:i w:val="0"/>
                <w:iCs w:val="0"/>
                <w:smallCaps w:val="0"/>
                <w:color w:val="000000"/>
                <w:kern w:val="0"/>
                <w:sz w:val="21"/>
                <w:szCs w:val="21"/>
              </w:rPr>
            </w:pPr>
            <w:r>
              <w:rPr>
                <w:rFonts w:ascii="Calibri" w:hAnsi="Calibri" w:eastAsia="Calibri" w:cs="Calibri"/>
                <w:b w:val="0"/>
                <w:bCs w:val="0"/>
                <w:i w:val="0"/>
                <w:iCs w:val="0"/>
                <w:smallCaps w:val="0"/>
                <w:color w:val="000000"/>
                <w:kern w:val="0"/>
                <w:sz w:val="18"/>
                <w:szCs w:val="18"/>
              </w:rPr>
              <w:t> </w:t>
            </w:r>
          </w:p>
        </w:tc>
        <w:tc>
          <w:tcPr>
            <w:tcW w:w="805" w:type="dxa"/>
            <w:tcBorders>
              <w:bottom w:val="single" w:color="000000" w:sz="8" w:space="0"/>
              <w:right w:val="single" w:color="000000" w:sz="8" w:space="0"/>
            </w:tcBorders>
            <w:noWrap w:val="0"/>
            <w:tcMar>
              <w:top w:w="5" w:type="dxa"/>
              <w:left w:w="113" w:type="dxa"/>
              <w:bottom w:w="10" w:type="dxa"/>
              <w:right w:w="118" w:type="dxa"/>
            </w:tcMar>
            <w:vAlign w:val="center"/>
          </w:tcPr>
          <w:p>
            <w:pPr>
              <w:pStyle w:val="6"/>
              <w:widowControl/>
              <w:spacing w:before="0" w:after="0"/>
              <w:ind w:left="0" w:right="0"/>
              <w:jc w:val="center"/>
              <w:rPr>
                <w:rFonts w:hint="default" w:ascii="Times New Roman" w:hAnsi="Times New Roman" w:eastAsia="宋体" w:cs="Times New Roman"/>
                <w:b w:val="0"/>
                <w:bCs w:val="0"/>
                <w:i w:val="0"/>
                <w:iCs w:val="0"/>
                <w:smallCaps w:val="0"/>
                <w:color w:val="000000"/>
                <w:kern w:val="0"/>
                <w:sz w:val="21"/>
                <w:szCs w:val="21"/>
                <w:lang w:val="en-US" w:eastAsia="zh-CN"/>
              </w:rPr>
            </w:pPr>
            <w:r>
              <w:rPr>
                <w:rFonts w:hint="eastAsia" w:ascii="仿宋" w:hAnsi="仿宋" w:eastAsia="仿宋" w:cs="仿宋"/>
                <w:b w:val="0"/>
                <w:bCs w:val="0"/>
                <w:i w:val="0"/>
                <w:iCs w:val="0"/>
                <w:smallCaps w:val="0"/>
                <w:color w:val="000000"/>
                <w:kern w:val="0"/>
                <w:sz w:val="18"/>
                <w:szCs w:val="18"/>
                <w:lang w:val="en-US" w:eastAsia="zh-CN"/>
              </w:rPr>
              <w:t>352.29</w:t>
            </w:r>
          </w:p>
        </w:tc>
        <w:tc>
          <w:tcPr>
            <w:tcW w:w="1078" w:type="dxa"/>
            <w:tcBorders>
              <w:bottom w:val="single" w:color="000000" w:sz="8" w:space="0"/>
              <w:right w:val="single" w:color="000000" w:sz="8" w:space="0"/>
            </w:tcBorders>
            <w:noWrap w:val="0"/>
            <w:tcMar>
              <w:top w:w="5" w:type="dxa"/>
              <w:left w:w="113" w:type="dxa"/>
              <w:bottom w:w="10" w:type="dxa"/>
              <w:right w:w="118" w:type="dxa"/>
            </w:tcMar>
            <w:vAlign w:val="center"/>
          </w:tcPr>
          <w:p>
            <w:pPr>
              <w:pStyle w:val="6"/>
              <w:widowControl/>
              <w:spacing w:before="0" w:after="0"/>
              <w:ind w:left="0" w:right="0"/>
              <w:jc w:val="center"/>
              <w:rPr>
                <w:rFonts w:ascii="Times New Roman" w:hAnsi="Times New Roman" w:eastAsia="Times New Roman" w:cs="Times New Roman"/>
                <w:b w:val="0"/>
                <w:bCs w:val="0"/>
                <w:i w:val="0"/>
                <w:iCs w:val="0"/>
                <w:smallCaps w:val="0"/>
                <w:color w:val="000000"/>
                <w:kern w:val="0"/>
                <w:sz w:val="21"/>
                <w:szCs w:val="21"/>
              </w:rPr>
            </w:pPr>
            <w:r>
              <w:rPr>
                <w:rFonts w:ascii="Calibri" w:hAnsi="Calibri" w:eastAsia="Calibri" w:cs="Calibri"/>
                <w:b w:val="0"/>
                <w:bCs w:val="0"/>
                <w:i w:val="0"/>
                <w:iCs w:val="0"/>
                <w:smallCaps w:val="0"/>
                <w:color w:val="000000"/>
                <w:kern w:val="0"/>
                <w:sz w:val="18"/>
                <w:szCs w:val="18"/>
              </w:rPr>
              <w:t> </w:t>
            </w:r>
          </w:p>
        </w:tc>
        <w:tc>
          <w:tcPr>
            <w:tcW w:w="588" w:type="dxa"/>
            <w:tcBorders>
              <w:bottom w:val="single" w:color="000000" w:sz="8" w:space="0"/>
              <w:right w:val="single" w:color="000000" w:sz="8" w:space="0"/>
            </w:tcBorders>
            <w:noWrap w:val="0"/>
            <w:tcMar>
              <w:top w:w="5" w:type="dxa"/>
              <w:left w:w="113" w:type="dxa"/>
              <w:bottom w:w="10" w:type="dxa"/>
              <w:right w:w="118" w:type="dxa"/>
            </w:tcMar>
            <w:vAlign w:val="center"/>
          </w:tcPr>
          <w:p>
            <w:pPr>
              <w:pStyle w:val="6"/>
              <w:widowControl/>
              <w:spacing w:before="0" w:after="0"/>
              <w:ind w:left="0" w:right="0"/>
              <w:jc w:val="center"/>
              <w:rPr>
                <w:rFonts w:ascii="Times New Roman" w:hAnsi="Times New Roman" w:eastAsia="Times New Roman" w:cs="Times New Roman"/>
                <w:b w:val="0"/>
                <w:bCs w:val="0"/>
                <w:i w:val="0"/>
                <w:iCs w:val="0"/>
                <w:smallCaps w:val="0"/>
                <w:color w:val="000000"/>
                <w:kern w:val="0"/>
                <w:sz w:val="21"/>
                <w:szCs w:val="21"/>
              </w:rPr>
            </w:pPr>
            <w:r>
              <w:rPr>
                <w:rFonts w:ascii="Calibri" w:hAnsi="Calibri" w:eastAsia="Calibri" w:cs="Calibri"/>
                <w:b w:val="0"/>
                <w:bCs w:val="0"/>
                <w:i w:val="0"/>
                <w:iCs w:val="0"/>
                <w:smallCaps w:val="0"/>
                <w:color w:val="000000"/>
                <w:kern w:val="0"/>
                <w:sz w:val="18"/>
                <w:szCs w:val="18"/>
              </w:rPr>
              <w:t> </w:t>
            </w:r>
          </w:p>
        </w:tc>
        <w:tc>
          <w:tcPr>
            <w:tcW w:w="588" w:type="dxa"/>
            <w:tcBorders>
              <w:bottom w:val="single" w:color="000000" w:sz="8" w:space="0"/>
              <w:right w:val="single" w:color="000000" w:sz="8" w:space="0"/>
            </w:tcBorders>
            <w:noWrap w:val="0"/>
            <w:tcMar>
              <w:top w:w="5" w:type="dxa"/>
              <w:left w:w="113" w:type="dxa"/>
              <w:bottom w:w="10" w:type="dxa"/>
              <w:right w:w="118" w:type="dxa"/>
            </w:tcMar>
            <w:vAlign w:val="center"/>
          </w:tcPr>
          <w:p>
            <w:pPr>
              <w:pStyle w:val="6"/>
              <w:widowControl/>
              <w:spacing w:before="0" w:after="0"/>
              <w:ind w:left="0" w:right="0"/>
              <w:jc w:val="center"/>
              <w:rPr>
                <w:rFonts w:ascii="Times New Roman" w:hAnsi="Times New Roman" w:eastAsia="Times New Roman" w:cs="Times New Roman"/>
                <w:b w:val="0"/>
                <w:bCs w:val="0"/>
                <w:i w:val="0"/>
                <w:iCs w:val="0"/>
                <w:smallCaps w:val="0"/>
                <w:color w:val="000000"/>
                <w:kern w:val="0"/>
                <w:sz w:val="21"/>
                <w:szCs w:val="21"/>
              </w:rPr>
            </w:pPr>
            <w:r>
              <w:rPr>
                <w:rFonts w:ascii="仿宋" w:hAnsi="仿宋" w:eastAsia="仿宋" w:cs="仿宋"/>
                <w:b w:val="0"/>
                <w:bCs w:val="0"/>
                <w:i w:val="0"/>
                <w:iCs w:val="0"/>
                <w:smallCaps w:val="0"/>
                <w:color w:val="000000"/>
                <w:kern w:val="0"/>
                <w:sz w:val="18"/>
                <w:szCs w:val="18"/>
              </w:rPr>
              <w:t>443.04</w:t>
            </w:r>
          </w:p>
        </w:tc>
        <w:tc>
          <w:tcPr>
            <w:tcW w:w="588" w:type="dxa"/>
            <w:tcBorders>
              <w:bottom w:val="single" w:color="000000" w:sz="8" w:space="0"/>
              <w:right w:val="single" w:color="000000" w:sz="8" w:space="0"/>
            </w:tcBorders>
            <w:noWrap w:val="0"/>
            <w:tcMar>
              <w:top w:w="5" w:type="dxa"/>
              <w:left w:w="113" w:type="dxa"/>
              <w:bottom w:w="10" w:type="dxa"/>
              <w:right w:w="118" w:type="dxa"/>
            </w:tcMar>
            <w:vAlign w:val="center"/>
          </w:tcPr>
          <w:p>
            <w:pPr>
              <w:pStyle w:val="6"/>
              <w:widowControl/>
              <w:spacing w:before="0" w:after="0"/>
              <w:ind w:left="0" w:right="0"/>
              <w:jc w:val="center"/>
              <w:rPr>
                <w:rFonts w:ascii="Times New Roman" w:hAnsi="Times New Roman" w:eastAsia="Times New Roman" w:cs="Times New Roman"/>
                <w:b w:val="0"/>
                <w:bCs w:val="0"/>
                <w:i w:val="0"/>
                <w:iCs w:val="0"/>
                <w:smallCaps w:val="0"/>
                <w:color w:val="000000"/>
                <w:kern w:val="0"/>
                <w:sz w:val="21"/>
                <w:szCs w:val="21"/>
              </w:rPr>
            </w:pPr>
            <w:r>
              <w:rPr>
                <w:rFonts w:ascii="Calibri" w:hAnsi="Calibri" w:eastAsia="Calibri" w:cs="Calibri"/>
                <w:b w:val="0"/>
                <w:bCs w:val="0"/>
                <w:i w:val="0"/>
                <w:iCs w:val="0"/>
                <w:smallCaps w:val="0"/>
                <w:color w:val="000000"/>
                <w:kern w:val="0"/>
                <w:sz w:val="18"/>
                <w:szCs w:val="18"/>
              </w:rPr>
              <w:t> </w:t>
            </w:r>
          </w:p>
        </w:tc>
      </w:tr>
      <w:tr>
        <w:tblPrEx>
          <w:tblLayout w:type="fixed"/>
          <w:tblCellMar>
            <w:top w:w="15" w:type="dxa"/>
            <w:left w:w="15" w:type="dxa"/>
            <w:bottom w:w="15" w:type="dxa"/>
            <w:right w:w="15" w:type="dxa"/>
          </w:tblCellMar>
        </w:tblPrEx>
        <w:trPr>
          <w:trHeight w:val="655" w:hRule="atLeast"/>
        </w:trPr>
        <w:tc>
          <w:tcPr>
            <w:tcW w:w="8420" w:type="dxa"/>
            <w:gridSpan w:val="14"/>
            <w:tcBorders>
              <w:left w:val="single" w:color="000000" w:sz="8" w:space="0"/>
              <w:bottom w:val="single" w:color="000000" w:sz="8" w:space="0"/>
              <w:right w:val="single" w:color="000000" w:sz="8" w:space="0"/>
            </w:tcBorders>
            <w:noWrap w:val="0"/>
            <w:tcMar>
              <w:top w:w="5" w:type="dxa"/>
              <w:left w:w="118" w:type="dxa"/>
              <w:bottom w:w="10" w:type="dxa"/>
              <w:right w:w="118" w:type="dxa"/>
            </w:tcMar>
            <w:vAlign w:val="center"/>
          </w:tcPr>
          <w:p>
            <w:pPr>
              <w:pStyle w:val="6"/>
              <w:widowControl/>
              <w:spacing w:before="0" w:after="0"/>
              <w:ind w:left="0" w:right="0"/>
              <w:jc w:val="left"/>
              <w:rPr>
                <w:rFonts w:ascii="Times New Roman" w:hAnsi="Times New Roman" w:eastAsia="Times New Roman" w:cs="Times New Roman"/>
                <w:b w:val="0"/>
                <w:bCs w:val="0"/>
                <w:i w:val="0"/>
                <w:iCs w:val="0"/>
                <w:smallCaps w:val="0"/>
                <w:color w:val="000000"/>
                <w:kern w:val="0"/>
                <w:sz w:val="21"/>
                <w:szCs w:val="21"/>
              </w:rPr>
            </w:pPr>
            <w:r>
              <w:rPr>
                <w:rFonts w:ascii="仿宋" w:hAnsi="仿宋" w:eastAsia="仿宋" w:cs="仿宋"/>
                <w:b w:val="0"/>
                <w:bCs w:val="0"/>
                <w:i w:val="0"/>
                <w:iCs w:val="0"/>
                <w:smallCaps w:val="0"/>
                <w:color w:val="000000"/>
                <w:kern w:val="0"/>
                <w:sz w:val="18"/>
                <w:szCs w:val="18"/>
              </w:rPr>
              <w:t>填报说明：1.资产总额=流动资产+固定资产+对外投资/有价证券+在建工程+无形资产+其他资产；</w:t>
            </w:r>
          </w:p>
          <w:p>
            <w:pPr>
              <w:pStyle w:val="6"/>
              <w:widowControl/>
              <w:spacing w:before="0" w:after="0"/>
              <w:ind w:left="900" w:right="0"/>
              <w:jc w:val="left"/>
              <w:rPr>
                <w:rFonts w:ascii="Times New Roman" w:hAnsi="Times New Roman" w:eastAsia="Times New Roman" w:cs="Times New Roman"/>
                <w:b w:val="0"/>
                <w:bCs w:val="0"/>
                <w:i w:val="0"/>
                <w:iCs w:val="0"/>
                <w:smallCaps w:val="0"/>
                <w:color w:val="000000"/>
                <w:kern w:val="0"/>
                <w:sz w:val="21"/>
                <w:szCs w:val="21"/>
              </w:rPr>
            </w:pPr>
            <w:r>
              <w:rPr>
                <w:rFonts w:ascii="仿宋" w:hAnsi="仿宋" w:eastAsia="仿宋" w:cs="仿宋"/>
                <w:b w:val="0"/>
                <w:bCs w:val="0"/>
                <w:i w:val="0"/>
                <w:iCs w:val="0"/>
                <w:smallCaps w:val="0"/>
                <w:color w:val="000000"/>
                <w:kern w:val="0"/>
                <w:sz w:val="18"/>
                <w:szCs w:val="18"/>
              </w:rPr>
              <w:t>2.固定资产=房屋构筑物+车辆+单价200万元以上大型设备+其他固定资产；</w:t>
            </w:r>
          </w:p>
          <w:p>
            <w:pPr>
              <w:pStyle w:val="6"/>
              <w:widowControl/>
              <w:spacing w:before="0" w:after="0"/>
              <w:ind w:left="900" w:right="0"/>
              <w:jc w:val="left"/>
              <w:rPr>
                <w:rFonts w:ascii="Times New Roman" w:hAnsi="Times New Roman" w:eastAsia="Times New Roman" w:cs="Times New Roman"/>
                <w:b w:val="0"/>
                <w:bCs w:val="0"/>
                <w:i w:val="0"/>
                <w:iCs w:val="0"/>
                <w:smallCaps w:val="0"/>
                <w:color w:val="000000"/>
                <w:kern w:val="0"/>
                <w:sz w:val="21"/>
                <w:szCs w:val="21"/>
              </w:rPr>
            </w:pPr>
            <w:r>
              <w:rPr>
                <w:rFonts w:ascii="仿宋" w:hAnsi="仿宋" w:eastAsia="仿宋" w:cs="仿宋"/>
                <w:b w:val="0"/>
                <w:bCs w:val="0"/>
                <w:i w:val="0"/>
                <w:iCs w:val="0"/>
                <w:smallCaps w:val="0"/>
                <w:color w:val="000000"/>
                <w:kern w:val="0"/>
                <w:sz w:val="18"/>
                <w:szCs w:val="18"/>
              </w:rPr>
              <w:t>3.填报金额为资产“账面原值”。</w:t>
            </w:r>
          </w:p>
        </w:tc>
      </w:tr>
    </w:tbl>
    <w:p>
      <w:pPr>
        <w:pStyle w:val="2"/>
        <w:keepNext w:val="0"/>
        <w:keepLines w:val="0"/>
        <w:widowControl/>
        <w:suppressLineNumbers w:val="0"/>
      </w:pPr>
    </w:p>
    <w:p>
      <w:pPr>
        <w:pStyle w:val="2"/>
        <w:keepNext w:val="0"/>
        <w:keepLines w:val="0"/>
        <w:widowControl/>
        <w:suppressLineNumbers w:val="0"/>
        <w:ind w:left="0" w:firstLine="420"/>
        <w:jc w:val="left"/>
      </w:pPr>
      <w:r>
        <w:t>三、政府采购支出情况</w:t>
      </w:r>
    </w:p>
    <w:p>
      <w:pPr>
        <w:pStyle w:val="2"/>
        <w:keepNext w:val="0"/>
        <w:keepLines w:val="0"/>
        <w:widowControl/>
        <w:suppressLineNumbers w:val="0"/>
        <w:ind w:left="0" w:firstLine="420"/>
        <w:jc w:val="left"/>
      </w:pPr>
      <w:r>
        <w:t>2021年度，部门政府采购支出总额0.00万元，其中：政府采购货物支出0.00万元；政府采购工程支出0.00万元；政府采购服务支出0.00万元。授予中小企业合同金额0.00万元，占政府采购支出总额的0.00%。</w:t>
      </w:r>
    </w:p>
    <w:p>
      <w:pPr>
        <w:pStyle w:val="2"/>
        <w:keepNext w:val="0"/>
        <w:keepLines w:val="0"/>
        <w:widowControl/>
        <w:suppressLineNumbers w:val="0"/>
        <w:ind w:left="0" w:firstLine="420"/>
        <w:jc w:val="left"/>
      </w:pPr>
      <w:r>
        <w:t>四、部门绩效自评情况</w:t>
      </w:r>
    </w:p>
    <w:p>
      <w:pPr>
        <w:pStyle w:val="2"/>
        <w:keepNext w:val="0"/>
        <w:keepLines w:val="0"/>
        <w:widowControl/>
        <w:suppressLineNumbers w:val="0"/>
        <w:ind w:left="0" w:firstLine="420"/>
        <w:jc w:val="left"/>
      </w:pPr>
      <w:r>
        <w:t>部门绩效自评情况详见附表（附表10-附表12）。</w:t>
      </w:r>
    </w:p>
    <w:p>
      <w:pPr>
        <w:pStyle w:val="2"/>
        <w:keepNext w:val="0"/>
        <w:keepLines w:val="0"/>
        <w:widowControl/>
        <w:suppressLineNumbers w:val="0"/>
        <w:ind w:left="0" w:firstLine="420"/>
        <w:jc w:val="left"/>
      </w:pPr>
      <w:r>
        <w:t>五、其他重要事项情况说明</w:t>
      </w:r>
    </w:p>
    <w:p>
      <w:pPr>
        <w:pStyle w:val="2"/>
        <w:keepNext w:val="0"/>
        <w:keepLines w:val="0"/>
        <w:widowControl/>
        <w:suppressLineNumbers w:val="0"/>
        <w:ind w:left="0" w:firstLine="420"/>
        <w:jc w:val="left"/>
      </w:pPr>
      <w:r>
        <w:t>无。</w:t>
      </w:r>
    </w:p>
    <w:p>
      <w:pPr>
        <w:pStyle w:val="2"/>
        <w:keepNext w:val="0"/>
        <w:keepLines w:val="0"/>
        <w:widowControl/>
        <w:suppressLineNumbers w:val="0"/>
        <w:ind w:left="0" w:firstLine="420"/>
        <w:jc w:val="left"/>
      </w:pPr>
      <w:r>
        <w:t>六、相关口径说明</w:t>
      </w:r>
    </w:p>
    <w:p>
      <w:pPr>
        <w:pStyle w:val="2"/>
        <w:keepNext w:val="0"/>
        <w:keepLines w:val="0"/>
        <w:widowControl/>
        <w:suppressLineNumbers w:val="0"/>
        <w:ind w:left="0" w:firstLine="420"/>
        <w:jc w:val="left"/>
      </w:pPr>
      <w:r>
        <w:t>（一）基本支出中人员经费包括工资福利支出和对个人和家庭的补助，公用经费包括商品和服务支出、资本性支出等人员经费以外的支出。</w:t>
      </w:r>
    </w:p>
    <w:p>
      <w:pPr>
        <w:pStyle w:val="2"/>
        <w:keepNext w:val="0"/>
        <w:keepLines w:val="0"/>
        <w:widowControl/>
        <w:suppressLineNumbers w:val="0"/>
        <w:ind w:left="0" w:firstLine="420"/>
        <w:jc w:val="left"/>
      </w:pPr>
      <w:r>
        <w:t>（二）机关运行经费指行政单位和参照公务员法管理的事业单位使用一般公共预算财政拨款安排的基本支出中的公用经费支出。</w:t>
      </w:r>
    </w:p>
    <w:p>
      <w:pPr>
        <w:pStyle w:val="2"/>
        <w:keepNext w:val="0"/>
        <w:keepLines w:val="0"/>
        <w:widowControl/>
        <w:suppressLineNumbers w:val="0"/>
        <w:ind w:left="0" w:firstLine="420"/>
        <w:jc w:val="left"/>
      </w:pPr>
      <w:r>
        <w:t>（三）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牌照费）；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p>
    <w:p>
      <w:pPr>
        <w:pStyle w:val="2"/>
        <w:keepNext w:val="0"/>
        <w:keepLines w:val="0"/>
        <w:widowControl/>
        <w:suppressLineNumbers w:val="0"/>
        <w:ind w:left="0" w:firstLine="420"/>
        <w:jc w:val="left"/>
      </w:pPr>
      <w:r>
        <w:t>（四）“三公”经费决算数：指各部门（含下属单位）当年通过本级财政一般公共预算财政拨款和以前年度一般公共预算财政拨款结转结余资金安排的因公出国（境）费、公务用车购置及运行维护费和公务接待费支出数（包括基本支出和项目支出）。</w:t>
      </w:r>
    </w:p>
    <w:p>
      <w:pPr>
        <w:pStyle w:val="2"/>
        <w:keepNext w:val="0"/>
        <w:keepLines w:val="0"/>
        <w:widowControl/>
        <w:suppressLineNumbers w:val="0"/>
      </w:pPr>
      <w:r>
        <w:t> </w:t>
      </w:r>
    </w:p>
    <w:p>
      <w:pPr>
        <w:pStyle w:val="2"/>
        <w:keepNext w:val="0"/>
        <w:keepLines w:val="0"/>
        <w:widowControl/>
        <w:suppressLineNumbers w:val="0"/>
        <w:ind w:left="0" w:firstLine="420"/>
        <w:jc w:val="left"/>
      </w:pPr>
      <w:r>
        <w:t>第五部分  名词解释</w:t>
      </w:r>
    </w:p>
    <w:p>
      <w:pPr>
        <w:pStyle w:val="2"/>
        <w:keepNext w:val="0"/>
        <w:keepLines w:val="0"/>
        <w:widowControl/>
        <w:suppressLineNumbers w:val="0"/>
        <w:ind w:left="0" w:firstLine="420"/>
        <w:jc w:val="left"/>
        <w:rPr>
          <w:rFonts w:hint="eastAsia" w:eastAsiaTheme="minorEastAsia"/>
          <w:lang w:eastAsia="zh-CN"/>
        </w:rPr>
      </w:pPr>
      <w:r>
        <w:rPr>
          <w:rFonts w:hint="eastAsia"/>
        </w:rPr>
        <w:t>提高老师的教学能力、知识结构以及专业化的技能。教师进修有很多不同的形式，具体取决于课程和教学内容。一般而言，进修课程包括研讨会、讲座、工作坊、社会实习、电子学习、在线讨论或交流等。教师进修学校是一种专门为教师提供培训和业务学习的机构，旨在通过教学能力、知识结构以及专业化的技能来提升教师的能力。常见的教师进修学校活动有：新技术培训、全面改革实践研究、多媒体教育、名师主讲</w:t>
      </w:r>
      <w:r>
        <w:rPr>
          <w:rFonts w:hint="eastAsia"/>
          <w:lang w:eastAsia="zh-CN"/>
        </w:rPr>
        <w:t>。</w:t>
      </w:r>
    </w:p>
    <w:p>
      <w:pPr>
        <w:pStyle w:val="2"/>
        <w:keepNext w:val="0"/>
        <w:keepLines w:val="0"/>
        <w:widowControl/>
        <w:suppressLineNumbers w:val="0"/>
        <w:ind w:left="0" w:firstLine="420"/>
        <w:jc w:val="left"/>
      </w:pPr>
      <w:r>
        <w:t>监督索引号53340100236000601111</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mZWQ5NjZjNWRlZGVkMDg3ZTg3OTQyZGJjNTk2ZTYifQ=="/>
  </w:docVars>
  <w:rsids>
    <w:rsidRoot w:val="00000000"/>
    <w:rsid w:val="12843C71"/>
    <w:rsid w:val="154876D4"/>
    <w:rsid w:val="29E6295C"/>
    <w:rsid w:val="2F1A6DA9"/>
    <w:rsid w:val="34D5766F"/>
    <w:rsid w:val="357339A5"/>
    <w:rsid w:val="70746E68"/>
    <w:rsid w:val="765D0035"/>
    <w:rsid w:val="77E97D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paragraph" w:customStyle="1" w:styleId="6">
    <w:name w:val="p_MsoNormal"/>
    <w:uiPriority w:val="0"/>
    <w:pPr>
      <w:jc w:val="both"/>
    </w:pPr>
    <w:rPr>
      <w:rFonts w:ascii="Times New Roman" w:hAnsi="Times New Roman" w:eastAsia="Times New Roman" w:cs="Times New Roman"/>
      <w:sz w:val="21"/>
      <w:szCs w:val="21"/>
    </w:rPr>
  </w:style>
  <w:style w:type="table" w:customStyle="1" w:styleId="7">
    <w:name w:val="table_MsoNormalTable"/>
    <w:uiPriority w:val="0"/>
    <w:tblPr>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5104</Words>
  <Characters>5828</Characters>
  <Lines>0</Lines>
  <Paragraphs>0</Paragraphs>
  <TotalTime>0</TotalTime>
  <ScaleCrop>false</ScaleCrop>
  <LinksUpToDate>false</LinksUpToDate>
  <CharactersWithSpaces>5937</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2023-02-23T02:47:00Z</dcterms:created>
  <dc:creator>Administrator</dc:creator>
  <cp:lastModifiedBy>Administrator</cp:lastModifiedBy>
  <dcterms:modified xsi:type="dcterms:W3CDTF">2023-09-28T07:43:18Z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5806F297B8AF46C4860AF261E0098D9A</vt:lpwstr>
  </property>
</Properties>
</file>